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3CAF6" w14:textId="65B2D2FD" w:rsidR="00FB5722" w:rsidRDefault="00B32C54">
      <w:r>
        <w:rPr>
          <w:noProof/>
          <w:lang w:eastAsia="en-GB"/>
        </w:rPr>
        <w:drawing>
          <wp:anchor distT="0" distB="0" distL="114300" distR="114300" simplePos="0" relativeHeight="251659264" behindDoc="0" locked="0" layoutInCell="1" allowOverlap="1" wp14:anchorId="6678ABDB" wp14:editId="744E663D">
            <wp:simplePos x="0" y="0"/>
            <wp:positionH relativeFrom="margin">
              <wp:posOffset>1181100</wp:posOffset>
            </wp:positionH>
            <wp:positionV relativeFrom="paragraph">
              <wp:posOffset>-247650</wp:posOffset>
            </wp:positionV>
            <wp:extent cx="3346450" cy="175895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SG Larg Logo pgn5.201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6450" cy="1758950"/>
                    </a:xfrm>
                    <a:prstGeom prst="rect">
                      <a:avLst/>
                    </a:prstGeom>
                  </pic:spPr>
                </pic:pic>
              </a:graphicData>
            </a:graphic>
            <wp14:sizeRelH relativeFrom="margin">
              <wp14:pctWidth>0</wp14:pctWidth>
            </wp14:sizeRelH>
            <wp14:sizeRelV relativeFrom="margin">
              <wp14:pctHeight>0</wp14:pctHeight>
            </wp14:sizeRelV>
          </wp:anchor>
        </w:drawing>
      </w:r>
    </w:p>
    <w:p w14:paraId="263E3B4D" w14:textId="0DA3F320" w:rsidR="00FB5722" w:rsidRDefault="00FB5722"/>
    <w:p w14:paraId="3C75BD15" w14:textId="17644AFD" w:rsidR="00FB5722" w:rsidRDefault="00FB5722"/>
    <w:p w14:paraId="0BE3ACBE" w14:textId="77777777" w:rsidR="00FB5722" w:rsidRDefault="00FB5722"/>
    <w:p w14:paraId="3866ADE5" w14:textId="77777777" w:rsidR="00FB5722" w:rsidRDefault="00FB5722"/>
    <w:p w14:paraId="5629FEDC" w14:textId="77777777" w:rsidR="00FB5722" w:rsidRDefault="00FB5722"/>
    <w:p w14:paraId="24232181" w14:textId="77777777" w:rsidR="00FB5722" w:rsidRDefault="00FB5722"/>
    <w:p w14:paraId="72C914B2" w14:textId="77777777" w:rsidR="00FB5722" w:rsidRDefault="00FB5722"/>
    <w:p w14:paraId="272BF1C4" w14:textId="77777777" w:rsidR="00FB5722" w:rsidRDefault="00FB5722"/>
    <w:p w14:paraId="5BE6C4D8" w14:textId="77777777" w:rsidR="00FB5722" w:rsidRDefault="00FB5722"/>
    <w:p w14:paraId="3F1A67BD" w14:textId="77777777" w:rsidR="00FB5722" w:rsidRDefault="00FB5722"/>
    <w:p w14:paraId="730A8C42" w14:textId="77777777" w:rsidR="009F6DBA" w:rsidRPr="00FB5722" w:rsidRDefault="00FB5722" w:rsidP="00FB5722">
      <w:pPr>
        <w:jc w:val="center"/>
        <w:rPr>
          <w:rFonts w:ascii="Bookman Old Style" w:hAnsi="Bookman Old Style"/>
          <w:b/>
          <w:sz w:val="24"/>
          <w:szCs w:val="24"/>
        </w:rPr>
      </w:pPr>
      <w:r>
        <w:rPr>
          <w:rFonts w:ascii="Bookman Old Style" w:hAnsi="Bookman Old Style"/>
          <w:b/>
          <w:sz w:val="24"/>
          <w:szCs w:val="24"/>
        </w:rPr>
        <w:t>STUDY ON THE NIGERIA</w:t>
      </w:r>
      <w:r w:rsidR="00493D7A" w:rsidRPr="00FB5722">
        <w:rPr>
          <w:rFonts w:ascii="Bookman Old Style" w:hAnsi="Bookman Old Style"/>
          <w:b/>
          <w:sz w:val="24"/>
          <w:szCs w:val="24"/>
        </w:rPr>
        <w:t xml:space="preserve"> NON-OIL EXPORT SECTOR</w:t>
      </w:r>
    </w:p>
    <w:p w14:paraId="76B3AE91" w14:textId="77777777" w:rsidR="00493D7A" w:rsidRDefault="00493D7A"/>
    <w:p w14:paraId="663CF4C6" w14:textId="77777777" w:rsidR="00493D7A" w:rsidRDefault="00493D7A"/>
    <w:p w14:paraId="4B8732C2" w14:textId="77777777" w:rsidR="00493D7A" w:rsidRDefault="00493D7A"/>
    <w:p w14:paraId="1CB32CB9" w14:textId="77777777" w:rsidR="00493D7A" w:rsidRDefault="00493D7A"/>
    <w:p w14:paraId="20C76C6E" w14:textId="77777777" w:rsidR="00493D7A" w:rsidRDefault="00493D7A"/>
    <w:p w14:paraId="1D978CC8" w14:textId="77777777" w:rsidR="00493D7A" w:rsidRDefault="00493D7A"/>
    <w:p w14:paraId="5A009FCF" w14:textId="77777777" w:rsidR="00493D7A" w:rsidRDefault="00493D7A"/>
    <w:p w14:paraId="64FFA928" w14:textId="77777777" w:rsidR="00493D7A" w:rsidRDefault="00493D7A"/>
    <w:p w14:paraId="3F093F05" w14:textId="77777777" w:rsidR="00493D7A" w:rsidRDefault="00493D7A"/>
    <w:p w14:paraId="60C37456" w14:textId="77777777" w:rsidR="00493D7A" w:rsidRDefault="00493D7A"/>
    <w:p w14:paraId="4552F90F" w14:textId="77777777" w:rsidR="00493D7A" w:rsidRDefault="00493D7A"/>
    <w:p w14:paraId="1B298AEB" w14:textId="77777777" w:rsidR="00493D7A" w:rsidRDefault="00493D7A"/>
    <w:p w14:paraId="23C32460" w14:textId="77777777" w:rsidR="00493D7A" w:rsidRDefault="00493D7A"/>
    <w:p w14:paraId="105749E6" w14:textId="77777777" w:rsidR="00493D7A" w:rsidRDefault="00493D7A"/>
    <w:p w14:paraId="7FBAB9EB" w14:textId="77777777" w:rsidR="00493D7A" w:rsidRDefault="00493D7A"/>
    <w:p w14:paraId="608AAA81" w14:textId="4FB981B1" w:rsidR="00E248D4" w:rsidRDefault="00E248D4" w:rsidP="00E248D4"/>
    <w:p w14:paraId="1AB1453C" w14:textId="77777777" w:rsidR="00B32C54" w:rsidRDefault="00B32C54" w:rsidP="00E248D4"/>
    <w:sdt>
      <w:sdtPr>
        <w:rPr>
          <w:rFonts w:asciiTheme="majorHAnsi" w:eastAsiaTheme="majorEastAsia" w:hAnsiTheme="majorHAnsi" w:cstheme="majorBidi"/>
          <w:color w:val="2F5496" w:themeColor="accent1" w:themeShade="BF"/>
          <w:sz w:val="32"/>
          <w:szCs w:val="32"/>
          <w:lang w:val="en-US"/>
        </w:rPr>
        <w:id w:val="-1628541160"/>
        <w:docPartObj>
          <w:docPartGallery w:val="Table of Contents"/>
          <w:docPartUnique/>
        </w:docPartObj>
      </w:sdtPr>
      <w:sdtEndPr>
        <w:rPr>
          <w:rFonts w:asciiTheme="minorHAnsi" w:eastAsiaTheme="minorHAnsi" w:hAnsiTheme="minorHAnsi" w:cstheme="minorBidi"/>
          <w:color w:val="auto"/>
          <w:sz w:val="22"/>
          <w:szCs w:val="22"/>
          <w:lang w:val="en-GB"/>
        </w:rPr>
      </w:sdtEndPr>
      <w:sdtContent>
        <w:p w14:paraId="663DDD7D" w14:textId="77777777" w:rsidR="00E248D4" w:rsidRPr="00E248D4" w:rsidRDefault="00E248D4" w:rsidP="00E248D4">
          <w:pPr>
            <w:keepNext/>
            <w:keepLines/>
            <w:spacing w:after="0" w:line="240" w:lineRule="auto"/>
            <w:jc w:val="both"/>
            <w:rPr>
              <w:rFonts w:asciiTheme="majorHAnsi" w:eastAsiaTheme="majorEastAsia" w:hAnsiTheme="majorHAnsi" w:cstheme="majorBidi"/>
              <w:b/>
              <w:sz w:val="32"/>
              <w:szCs w:val="32"/>
              <w:lang w:val="en-US"/>
            </w:rPr>
          </w:pPr>
          <w:r w:rsidRPr="00E248D4">
            <w:rPr>
              <w:rFonts w:asciiTheme="majorHAnsi" w:eastAsiaTheme="majorEastAsia" w:hAnsiTheme="majorHAnsi" w:cstheme="majorBidi"/>
              <w:b/>
              <w:sz w:val="32"/>
              <w:szCs w:val="32"/>
              <w:lang w:val="en-US"/>
            </w:rPr>
            <w:t>Table of Contents</w:t>
          </w:r>
        </w:p>
        <w:p w14:paraId="6E66FD7E" w14:textId="77777777" w:rsidR="00E248D4" w:rsidRPr="00E248D4" w:rsidRDefault="00E248D4" w:rsidP="00E248D4">
          <w:pPr>
            <w:autoSpaceDE w:val="0"/>
            <w:autoSpaceDN w:val="0"/>
            <w:adjustRightInd w:val="0"/>
            <w:spacing w:after="100" w:line="240" w:lineRule="auto"/>
            <w:jc w:val="both"/>
            <w:rPr>
              <w:rFonts w:ascii="Gill Sans MT" w:eastAsia="Times New Roman" w:hAnsi="Gill Sans MT" w:cs="Arial"/>
              <w:bCs/>
              <w:lang w:val="en-US"/>
            </w:rPr>
          </w:pPr>
          <w:r w:rsidRPr="00E248D4">
            <w:rPr>
              <w:rFonts w:ascii="Bookman Old Style" w:eastAsia="Times New Roman" w:hAnsi="Bookman Old Style" w:cstheme="majorHAnsi"/>
              <w:b/>
              <w:lang w:val="en-US"/>
            </w:rPr>
            <w:t>TABLES</w:t>
          </w:r>
          <w:r w:rsidRPr="00E248D4">
            <w:rPr>
              <w:rFonts w:ascii="Bookman Old Style" w:eastAsia="Times New Roman" w:hAnsi="Bookman Old Style" w:cs="Arial"/>
              <w:b/>
              <w:lang w:val="en-US"/>
            </w:rPr>
            <w:t xml:space="preserve"> </w:t>
          </w:r>
          <w:r w:rsidRPr="00E248D4">
            <w:rPr>
              <w:rFonts w:ascii="Gill Sans MT" w:eastAsia="Times New Roman" w:hAnsi="Gill Sans MT" w:cs="Arial"/>
              <w:bCs/>
              <w:lang w:val="en-US"/>
            </w:rPr>
            <w:ptab w:relativeTo="margin" w:alignment="right" w:leader="dot"/>
          </w:r>
          <w:r w:rsidRPr="00E248D4">
            <w:rPr>
              <w:rFonts w:ascii="Gill Sans MT" w:eastAsia="Times New Roman" w:hAnsi="Gill Sans MT" w:cs="Arial"/>
              <w:b/>
              <w:bCs/>
              <w:lang w:val="en-US"/>
            </w:rPr>
            <w:t>2</w:t>
          </w:r>
        </w:p>
        <w:p w14:paraId="0017B8FF" w14:textId="77777777" w:rsidR="00E248D4" w:rsidRPr="00E248D4" w:rsidRDefault="00E248D4" w:rsidP="00E248D4">
          <w:pPr>
            <w:spacing w:after="0" w:line="276" w:lineRule="auto"/>
            <w:jc w:val="both"/>
            <w:rPr>
              <w:rFonts w:ascii="Bookman Old Style" w:eastAsiaTheme="minorEastAsia" w:hAnsi="Bookman Old Style" w:cs="Times New Roman"/>
              <w:lang w:val="en-US"/>
            </w:rPr>
          </w:pPr>
          <w:r w:rsidRPr="00E248D4">
            <w:rPr>
              <w:rFonts w:ascii="Bookman Old Style" w:eastAsiaTheme="minorEastAsia" w:hAnsi="Bookman Old Style" w:cs="Times New Roman"/>
              <w:b/>
              <w:lang w:val="en-US"/>
            </w:rPr>
            <w:t>FIGURES</w:t>
          </w:r>
          <w:r w:rsidRPr="00E248D4">
            <w:rPr>
              <w:rFonts w:ascii="Bookman Old Style" w:eastAsiaTheme="minorEastAsia" w:hAnsi="Bookman Old Style" w:cs="Times New Roman"/>
              <w:lang w:val="en-US"/>
            </w:rPr>
            <w:ptab w:relativeTo="margin" w:alignment="right" w:leader="dot"/>
          </w:r>
          <w:r w:rsidRPr="00E248D4">
            <w:rPr>
              <w:rFonts w:ascii="Bookman Old Style" w:eastAsiaTheme="minorEastAsia" w:hAnsi="Bookman Old Style" w:cs="Times New Roman"/>
              <w:lang w:val="en-US"/>
            </w:rPr>
            <w:t>3</w:t>
          </w:r>
        </w:p>
        <w:p w14:paraId="69E31746" w14:textId="49976A7D" w:rsidR="00E248D4" w:rsidRPr="00E248D4" w:rsidRDefault="00E248D4" w:rsidP="00E248D4">
          <w:pPr>
            <w:spacing w:after="0" w:line="276" w:lineRule="auto"/>
            <w:jc w:val="both"/>
            <w:rPr>
              <w:rFonts w:ascii="Bookman Old Style" w:hAnsi="Bookman Old Style"/>
            </w:rPr>
          </w:pPr>
          <w:r w:rsidRPr="00E248D4">
            <w:rPr>
              <w:rFonts w:ascii="Bookman Old Style" w:hAnsi="Bookman Old Style"/>
              <w:b/>
            </w:rPr>
            <w:t>EXECUTIVE SUMMARY</w:t>
          </w:r>
          <w:r w:rsidRPr="00E248D4">
            <w:rPr>
              <w:rFonts w:ascii="Bookman Old Style" w:hAnsi="Bookman Old Style"/>
            </w:rPr>
            <w:ptab w:relativeTo="margin" w:alignment="right" w:leader="dot"/>
          </w:r>
          <w:r w:rsidRPr="00E248D4">
            <w:rPr>
              <w:rFonts w:ascii="Bookman Old Style" w:hAnsi="Bookman Old Style"/>
            </w:rPr>
            <w:t>4</w:t>
          </w:r>
        </w:p>
        <w:p w14:paraId="4800C959" w14:textId="77777777" w:rsidR="00E248D4" w:rsidRPr="00E248D4" w:rsidRDefault="00E248D4" w:rsidP="00E248D4">
          <w:pPr>
            <w:autoSpaceDE w:val="0"/>
            <w:autoSpaceDN w:val="0"/>
            <w:adjustRightInd w:val="0"/>
            <w:spacing w:after="0" w:line="276" w:lineRule="auto"/>
            <w:jc w:val="both"/>
            <w:rPr>
              <w:rFonts w:ascii="Bookman Old Style" w:eastAsia="Times New Roman" w:hAnsi="Bookman Old Style" w:cs="Arial"/>
              <w:bCs/>
              <w:lang w:val="en-US"/>
            </w:rPr>
          </w:pPr>
          <w:r w:rsidRPr="00E248D4">
            <w:rPr>
              <w:rFonts w:ascii="Bookman Old Style" w:eastAsia="Times New Roman" w:hAnsi="Bookman Old Style" w:cs="Arial"/>
              <w:b/>
              <w:lang w:val="en-US"/>
            </w:rPr>
            <w:t xml:space="preserve">Section 1: Overview of The Nigeria Economy </w:t>
          </w:r>
          <w:r w:rsidRPr="00E248D4">
            <w:rPr>
              <w:rFonts w:ascii="Bookman Old Style" w:eastAsia="Times New Roman" w:hAnsi="Bookman Old Style" w:cs="Arial"/>
              <w:bCs/>
              <w:lang w:val="en-US"/>
            </w:rPr>
            <w:ptab w:relativeTo="margin" w:alignment="right" w:leader="dot"/>
          </w:r>
          <w:r w:rsidRPr="00E248D4">
            <w:rPr>
              <w:rFonts w:ascii="Bookman Old Style" w:eastAsia="Times New Roman" w:hAnsi="Bookman Old Style" w:cs="Arial"/>
              <w:b/>
              <w:bCs/>
              <w:lang w:val="en-US"/>
            </w:rPr>
            <w:t>6</w:t>
          </w:r>
        </w:p>
        <w:p w14:paraId="61392AE7" w14:textId="77777777" w:rsidR="00E248D4" w:rsidRPr="00E248D4" w:rsidRDefault="00E248D4" w:rsidP="00E248D4">
          <w:pPr>
            <w:spacing w:after="0" w:line="276" w:lineRule="auto"/>
            <w:jc w:val="both"/>
            <w:rPr>
              <w:rFonts w:ascii="Bookman Old Style" w:eastAsiaTheme="minorEastAsia" w:hAnsi="Bookman Old Style" w:cs="Times New Roman"/>
              <w:lang w:val="en-US"/>
            </w:rPr>
          </w:pPr>
          <w:r w:rsidRPr="00E248D4">
            <w:rPr>
              <w:rFonts w:ascii="Bookman Old Style" w:eastAsiaTheme="minorEastAsia" w:hAnsi="Bookman Old Style" w:cs="Times New Roman"/>
              <w:lang w:val="en-US"/>
            </w:rPr>
            <w:t xml:space="preserve">  1.1</w:t>
          </w:r>
          <w:r w:rsidRPr="00E248D4">
            <w:rPr>
              <w:rFonts w:ascii="Bookman Old Style" w:eastAsiaTheme="minorEastAsia" w:hAnsi="Bookman Old Style" w:cs="Times New Roman"/>
              <w:lang w:val="en-US"/>
            </w:rPr>
            <w:tab/>
            <w:t>The Zero Oil Plan</w:t>
          </w:r>
          <w:r w:rsidRPr="00E248D4">
            <w:rPr>
              <w:rFonts w:ascii="Bookman Old Style" w:eastAsiaTheme="minorEastAsia" w:hAnsi="Bookman Old Style" w:cs="Times New Roman"/>
              <w:lang w:val="en-US"/>
            </w:rPr>
            <w:ptab w:relativeTo="margin" w:alignment="right" w:leader="dot"/>
          </w:r>
          <w:r w:rsidRPr="00E248D4">
            <w:rPr>
              <w:rFonts w:ascii="Bookman Old Style" w:eastAsiaTheme="minorEastAsia" w:hAnsi="Bookman Old Style" w:cs="Times New Roman"/>
              <w:lang w:val="en-US"/>
            </w:rPr>
            <w:t>6</w:t>
          </w:r>
        </w:p>
        <w:p w14:paraId="692FDC5F" w14:textId="77777777" w:rsidR="00E248D4" w:rsidRPr="00E248D4" w:rsidRDefault="00E248D4" w:rsidP="00E248D4">
          <w:pPr>
            <w:spacing w:after="0" w:line="276" w:lineRule="auto"/>
            <w:jc w:val="both"/>
            <w:rPr>
              <w:rFonts w:ascii="Bookman Old Style" w:hAnsi="Bookman Old Style"/>
            </w:rPr>
          </w:pPr>
          <w:r w:rsidRPr="00E248D4">
            <w:rPr>
              <w:rFonts w:ascii="Bookman Old Style" w:hAnsi="Bookman Old Style"/>
            </w:rPr>
            <w:t xml:space="preserve">  1.2</w:t>
          </w:r>
          <w:r w:rsidRPr="00E248D4">
            <w:rPr>
              <w:rFonts w:ascii="Bookman Old Style" w:hAnsi="Bookman Old Style"/>
            </w:rPr>
            <w:tab/>
            <w:t>Agriculture Promotion Policy</w:t>
          </w:r>
          <w:r w:rsidRPr="00E248D4">
            <w:rPr>
              <w:rFonts w:ascii="Bookman Old Style" w:hAnsi="Bookman Old Style"/>
            </w:rPr>
            <w:ptab w:relativeTo="margin" w:alignment="right" w:leader="dot"/>
          </w:r>
          <w:r w:rsidRPr="00E248D4">
            <w:rPr>
              <w:rFonts w:ascii="Bookman Old Style" w:hAnsi="Bookman Old Style"/>
            </w:rPr>
            <w:t>8</w:t>
          </w:r>
        </w:p>
        <w:p w14:paraId="6C261D66" w14:textId="77777777" w:rsidR="00E248D4" w:rsidRPr="00E248D4" w:rsidRDefault="00E248D4" w:rsidP="00E248D4">
          <w:pPr>
            <w:spacing w:after="0" w:line="276" w:lineRule="auto"/>
            <w:ind w:left="720" w:hanging="720"/>
            <w:jc w:val="both"/>
            <w:rPr>
              <w:rFonts w:ascii="Bookman Old Style" w:eastAsiaTheme="minorEastAsia" w:hAnsi="Bookman Old Style" w:cs="Times New Roman"/>
              <w:lang w:val="en-US"/>
            </w:rPr>
          </w:pPr>
          <w:r w:rsidRPr="00E248D4">
            <w:rPr>
              <w:rFonts w:ascii="Bookman Old Style" w:eastAsiaTheme="minorEastAsia" w:hAnsi="Bookman Old Style" w:cs="Times New Roman"/>
              <w:lang w:val="en-US"/>
            </w:rPr>
            <w:t xml:space="preserve">  1.3</w:t>
          </w:r>
          <w:r w:rsidRPr="00E248D4">
            <w:rPr>
              <w:rFonts w:ascii="Bookman Old Style" w:eastAsiaTheme="minorEastAsia" w:hAnsi="Bookman Old Style" w:cs="Times New Roman"/>
              <w:lang w:val="en-US"/>
            </w:rPr>
            <w:tab/>
            <w:t xml:space="preserve">National Enterprise Development Programme/One-Local Government-One   Product (NEDEP/OLOP) </w:t>
          </w:r>
          <w:r w:rsidRPr="00E248D4">
            <w:rPr>
              <w:rFonts w:ascii="Bookman Old Style" w:eastAsiaTheme="minorEastAsia" w:hAnsi="Bookman Old Style" w:cs="Times New Roman"/>
              <w:lang w:val="en-US"/>
            </w:rPr>
            <w:ptab w:relativeTo="margin" w:alignment="right" w:leader="dot"/>
          </w:r>
          <w:r w:rsidRPr="00E248D4">
            <w:rPr>
              <w:rFonts w:ascii="Bookman Old Style" w:eastAsiaTheme="minorEastAsia" w:hAnsi="Bookman Old Style" w:cs="Times New Roman"/>
              <w:lang w:val="en-US"/>
            </w:rPr>
            <w:t>9</w:t>
          </w:r>
        </w:p>
        <w:p w14:paraId="0D42B9AF" w14:textId="77777777" w:rsidR="00E248D4" w:rsidRPr="00E248D4" w:rsidRDefault="00E248D4" w:rsidP="00E248D4">
          <w:pPr>
            <w:autoSpaceDE w:val="0"/>
            <w:autoSpaceDN w:val="0"/>
            <w:adjustRightInd w:val="0"/>
            <w:spacing w:after="0" w:line="276" w:lineRule="auto"/>
            <w:jc w:val="both"/>
            <w:rPr>
              <w:rFonts w:ascii="Bookman Old Style" w:eastAsia="Times New Roman" w:hAnsi="Bookman Old Style" w:cs="Arial"/>
              <w:b/>
              <w:lang w:val="en-US"/>
            </w:rPr>
          </w:pPr>
        </w:p>
        <w:p w14:paraId="53DA2A24" w14:textId="77777777" w:rsidR="00E248D4" w:rsidRPr="00E248D4" w:rsidRDefault="00E248D4" w:rsidP="00E248D4">
          <w:pPr>
            <w:autoSpaceDE w:val="0"/>
            <w:autoSpaceDN w:val="0"/>
            <w:adjustRightInd w:val="0"/>
            <w:spacing w:after="0" w:line="276" w:lineRule="auto"/>
            <w:jc w:val="both"/>
            <w:rPr>
              <w:rFonts w:ascii="Bookman Old Style" w:eastAsia="Times New Roman" w:hAnsi="Bookman Old Style" w:cs="Arial"/>
              <w:bCs/>
              <w:lang w:val="en-US"/>
            </w:rPr>
          </w:pPr>
          <w:r w:rsidRPr="00E248D4">
            <w:rPr>
              <w:rFonts w:ascii="Bookman Old Style" w:eastAsia="Times New Roman" w:hAnsi="Bookman Old Style" w:cs="Arial"/>
              <w:b/>
              <w:lang w:val="en-US"/>
            </w:rPr>
            <w:t>Section 2: Factors Inhibiting Actualisation Of True Export Potentials</w:t>
          </w:r>
          <w:r w:rsidRPr="00E248D4">
            <w:rPr>
              <w:rFonts w:ascii="Bookman Old Style" w:eastAsia="Times New Roman" w:hAnsi="Bookman Old Style" w:cs="Arial"/>
              <w:bCs/>
              <w:lang w:val="en-US"/>
            </w:rPr>
            <w:ptab w:relativeTo="margin" w:alignment="right" w:leader="dot"/>
          </w:r>
          <w:r w:rsidRPr="00E248D4">
            <w:rPr>
              <w:rFonts w:ascii="Bookman Old Style" w:eastAsia="Times New Roman" w:hAnsi="Bookman Old Style" w:cs="Arial"/>
              <w:b/>
              <w:bCs/>
              <w:lang w:val="en-US"/>
            </w:rPr>
            <w:t>11</w:t>
          </w:r>
        </w:p>
        <w:p w14:paraId="738F906D" w14:textId="77777777" w:rsidR="00E248D4" w:rsidRPr="00E248D4" w:rsidRDefault="00E248D4" w:rsidP="00E248D4">
          <w:pPr>
            <w:spacing w:after="0" w:line="276" w:lineRule="auto"/>
            <w:jc w:val="both"/>
            <w:rPr>
              <w:rFonts w:ascii="Bookman Old Style" w:eastAsiaTheme="minorEastAsia" w:hAnsi="Bookman Old Style" w:cs="Times New Roman"/>
              <w:lang w:val="en-US"/>
            </w:rPr>
          </w:pPr>
          <w:r w:rsidRPr="00E248D4">
            <w:rPr>
              <w:rFonts w:ascii="Bookman Old Style" w:eastAsiaTheme="minorEastAsia" w:hAnsi="Bookman Old Style" w:cs="Times New Roman"/>
              <w:lang w:val="en-US"/>
            </w:rPr>
            <w:t xml:space="preserve">  2.1</w:t>
          </w:r>
          <w:r w:rsidRPr="00E248D4">
            <w:rPr>
              <w:rFonts w:ascii="Bookman Old Style" w:eastAsiaTheme="minorEastAsia" w:hAnsi="Bookman Old Style" w:cs="Times New Roman"/>
              <w:lang w:val="en-US"/>
            </w:rPr>
            <w:tab/>
            <w:t xml:space="preserve">Information Factors </w:t>
          </w:r>
          <w:r w:rsidRPr="00E248D4">
            <w:rPr>
              <w:rFonts w:ascii="Bookman Old Style" w:eastAsiaTheme="minorEastAsia" w:hAnsi="Bookman Old Style" w:cs="Times New Roman"/>
              <w:lang w:val="en-US"/>
            </w:rPr>
            <w:ptab w:relativeTo="margin" w:alignment="right" w:leader="dot"/>
          </w:r>
          <w:r w:rsidRPr="00E248D4">
            <w:rPr>
              <w:rFonts w:ascii="Bookman Old Style" w:eastAsiaTheme="minorEastAsia" w:hAnsi="Bookman Old Style" w:cs="Times New Roman"/>
              <w:lang w:val="en-US"/>
            </w:rPr>
            <w:t>11</w:t>
          </w:r>
        </w:p>
        <w:p w14:paraId="65A48E45" w14:textId="77777777" w:rsidR="00E248D4" w:rsidRPr="00E248D4" w:rsidRDefault="00E248D4" w:rsidP="00E248D4">
          <w:pPr>
            <w:spacing w:after="0" w:line="276" w:lineRule="auto"/>
            <w:jc w:val="both"/>
            <w:rPr>
              <w:rFonts w:ascii="Bookman Old Style" w:hAnsi="Bookman Old Style"/>
            </w:rPr>
          </w:pPr>
          <w:r w:rsidRPr="00E248D4">
            <w:rPr>
              <w:rFonts w:ascii="Bookman Old Style" w:hAnsi="Bookman Old Style"/>
            </w:rPr>
            <w:t xml:space="preserve">  2.2</w:t>
          </w:r>
          <w:r w:rsidRPr="00E248D4">
            <w:rPr>
              <w:rFonts w:ascii="Bookman Old Style" w:hAnsi="Bookman Old Style"/>
            </w:rPr>
            <w:tab/>
            <w:t xml:space="preserve">Resource Factors </w:t>
          </w:r>
          <w:r w:rsidRPr="00E248D4">
            <w:rPr>
              <w:rFonts w:ascii="Bookman Old Style" w:hAnsi="Bookman Old Style"/>
            </w:rPr>
            <w:ptab w:relativeTo="margin" w:alignment="right" w:leader="dot"/>
          </w:r>
          <w:r w:rsidRPr="00E248D4">
            <w:rPr>
              <w:rFonts w:ascii="Bookman Old Style" w:hAnsi="Bookman Old Style"/>
            </w:rPr>
            <w:t>11</w:t>
          </w:r>
        </w:p>
        <w:p w14:paraId="74F2E3D3" w14:textId="77777777" w:rsidR="00E248D4" w:rsidRPr="00E248D4" w:rsidRDefault="00E248D4" w:rsidP="00E248D4">
          <w:pPr>
            <w:spacing w:after="0" w:line="276" w:lineRule="auto"/>
            <w:jc w:val="both"/>
            <w:rPr>
              <w:rFonts w:ascii="Bookman Old Style" w:eastAsiaTheme="minorEastAsia" w:hAnsi="Bookman Old Style" w:cs="Times New Roman"/>
              <w:lang w:val="en-US"/>
            </w:rPr>
          </w:pPr>
          <w:r w:rsidRPr="00E248D4">
            <w:rPr>
              <w:rFonts w:ascii="Bookman Old Style" w:eastAsiaTheme="minorEastAsia" w:hAnsi="Bookman Old Style" w:cs="Times New Roman"/>
              <w:lang w:val="en-US"/>
            </w:rPr>
            <w:t xml:space="preserve">  2.3</w:t>
          </w:r>
          <w:r w:rsidRPr="00E248D4">
            <w:rPr>
              <w:rFonts w:ascii="Bookman Old Style" w:eastAsiaTheme="minorEastAsia" w:hAnsi="Bookman Old Style" w:cs="Times New Roman"/>
              <w:lang w:val="en-US"/>
            </w:rPr>
            <w:tab/>
            <w:t>Procedural Factors</w:t>
          </w:r>
          <w:r w:rsidRPr="00E248D4">
            <w:rPr>
              <w:rFonts w:ascii="Bookman Old Style" w:eastAsiaTheme="minorEastAsia" w:hAnsi="Bookman Old Style" w:cs="Times New Roman"/>
              <w:lang w:val="en-US"/>
            </w:rPr>
            <w:ptab w:relativeTo="margin" w:alignment="right" w:leader="dot"/>
          </w:r>
          <w:r w:rsidRPr="00E248D4">
            <w:rPr>
              <w:rFonts w:ascii="Bookman Old Style" w:eastAsiaTheme="minorEastAsia" w:hAnsi="Bookman Old Style" w:cs="Times New Roman"/>
              <w:lang w:val="en-US"/>
            </w:rPr>
            <w:t>11</w:t>
          </w:r>
        </w:p>
        <w:p w14:paraId="251B1209" w14:textId="77777777" w:rsidR="00E248D4" w:rsidRPr="00E248D4" w:rsidRDefault="00E248D4" w:rsidP="00E248D4">
          <w:pPr>
            <w:spacing w:after="0" w:line="276" w:lineRule="auto"/>
            <w:jc w:val="both"/>
            <w:rPr>
              <w:rFonts w:ascii="Bookman Old Style" w:eastAsiaTheme="minorEastAsia" w:hAnsi="Bookman Old Style" w:cs="Times New Roman"/>
              <w:lang w:val="en-US"/>
            </w:rPr>
          </w:pPr>
          <w:r w:rsidRPr="00E248D4">
            <w:rPr>
              <w:rFonts w:ascii="Bookman Old Style" w:eastAsiaTheme="minorEastAsia" w:hAnsi="Bookman Old Style" w:cs="Times New Roman"/>
              <w:lang w:val="en-US"/>
            </w:rPr>
            <w:t xml:space="preserve">  2.4</w:t>
          </w:r>
          <w:r w:rsidRPr="00E248D4">
            <w:rPr>
              <w:rFonts w:ascii="Bookman Old Style" w:eastAsiaTheme="minorEastAsia" w:hAnsi="Bookman Old Style" w:cs="Times New Roman"/>
              <w:lang w:val="en-US"/>
            </w:rPr>
            <w:tab/>
            <w:t>External Factors</w:t>
          </w:r>
          <w:r w:rsidRPr="00E248D4">
            <w:rPr>
              <w:rFonts w:ascii="Bookman Old Style" w:eastAsiaTheme="minorEastAsia" w:hAnsi="Bookman Old Style" w:cs="Times New Roman"/>
              <w:lang w:val="en-US"/>
            </w:rPr>
            <w:ptab w:relativeTo="margin" w:alignment="right" w:leader="dot"/>
          </w:r>
          <w:r w:rsidRPr="00E248D4">
            <w:rPr>
              <w:rFonts w:ascii="Bookman Old Style" w:eastAsiaTheme="minorEastAsia" w:hAnsi="Bookman Old Style" w:cs="Times New Roman"/>
              <w:lang w:val="en-US"/>
            </w:rPr>
            <w:t>12</w:t>
          </w:r>
        </w:p>
        <w:p w14:paraId="1A8FAAD4" w14:textId="77777777" w:rsidR="00E248D4" w:rsidRPr="00E248D4" w:rsidRDefault="00E248D4" w:rsidP="00E248D4">
          <w:pPr>
            <w:autoSpaceDE w:val="0"/>
            <w:autoSpaceDN w:val="0"/>
            <w:adjustRightInd w:val="0"/>
            <w:spacing w:after="0" w:line="276" w:lineRule="auto"/>
            <w:jc w:val="both"/>
            <w:rPr>
              <w:rFonts w:ascii="Bookman Old Style" w:eastAsia="Times New Roman" w:hAnsi="Bookman Old Style" w:cs="Arial"/>
              <w:b/>
              <w:lang w:val="en-US"/>
            </w:rPr>
          </w:pPr>
        </w:p>
        <w:p w14:paraId="14994C67" w14:textId="77777777" w:rsidR="00E248D4" w:rsidRPr="00E248D4" w:rsidRDefault="00E248D4" w:rsidP="00E248D4">
          <w:pPr>
            <w:autoSpaceDE w:val="0"/>
            <w:autoSpaceDN w:val="0"/>
            <w:adjustRightInd w:val="0"/>
            <w:spacing w:after="0" w:line="276" w:lineRule="auto"/>
            <w:jc w:val="both"/>
            <w:rPr>
              <w:rFonts w:ascii="Bookman Old Style" w:eastAsia="Times New Roman" w:hAnsi="Bookman Old Style" w:cs="Arial"/>
              <w:bCs/>
              <w:lang w:val="en-US"/>
            </w:rPr>
          </w:pPr>
          <w:r w:rsidRPr="00E248D4">
            <w:rPr>
              <w:rFonts w:ascii="Bookman Old Style" w:eastAsia="Times New Roman" w:hAnsi="Bookman Old Style" w:cs="Arial"/>
              <w:b/>
              <w:lang w:val="en-US"/>
            </w:rPr>
            <w:t>Section 3: Potential/ Opportunities of Our Non-Oil Export</w:t>
          </w:r>
          <w:r w:rsidRPr="00E248D4">
            <w:rPr>
              <w:rFonts w:ascii="Bookman Old Style" w:eastAsia="Times New Roman" w:hAnsi="Bookman Old Style" w:cs="Arial"/>
              <w:bCs/>
              <w:lang w:val="en-US"/>
            </w:rPr>
            <w:ptab w:relativeTo="margin" w:alignment="right" w:leader="dot"/>
          </w:r>
          <w:r w:rsidRPr="00E248D4">
            <w:rPr>
              <w:rFonts w:ascii="Bookman Old Style" w:eastAsia="Times New Roman" w:hAnsi="Bookman Old Style" w:cs="Arial"/>
              <w:b/>
              <w:bCs/>
              <w:lang w:val="en-US"/>
            </w:rPr>
            <w:t>13</w:t>
          </w:r>
        </w:p>
        <w:p w14:paraId="5814C689" w14:textId="77777777" w:rsidR="00E248D4" w:rsidRPr="00E248D4" w:rsidRDefault="00E248D4" w:rsidP="00E248D4">
          <w:pPr>
            <w:spacing w:after="0" w:line="276" w:lineRule="auto"/>
            <w:jc w:val="both"/>
            <w:rPr>
              <w:rFonts w:ascii="Bookman Old Style" w:eastAsiaTheme="minorEastAsia" w:hAnsi="Bookman Old Style" w:cs="Times New Roman"/>
              <w:lang w:val="en-US"/>
            </w:rPr>
          </w:pPr>
          <w:r w:rsidRPr="00E248D4">
            <w:rPr>
              <w:rFonts w:ascii="Bookman Old Style" w:eastAsiaTheme="minorEastAsia" w:hAnsi="Bookman Old Style" w:cs="Times New Roman"/>
              <w:lang w:val="en-US"/>
            </w:rPr>
            <w:t xml:space="preserve">  3.0</w:t>
          </w:r>
          <w:r w:rsidRPr="00E248D4">
            <w:rPr>
              <w:rFonts w:ascii="Bookman Old Style" w:eastAsiaTheme="minorEastAsia" w:hAnsi="Bookman Old Style" w:cs="Times New Roman"/>
              <w:lang w:val="en-US"/>
            </w:rPr>
            <w:tab/>
            <w:t>Introduction</w:t>
          </w:r>
          <w:r w:rsidRPr="00E248D4">
            <w:rPr>
              <w:rFonts w:ascii="Bookman Old Style" w:eastAsiaTheme="minorEastAsia" w:hAnsi="Bookman Old Style" w:cs="Times New Roman"/>
              <w:lang w:val="en-US"/>
            </w:rPr>
            <w:ptab w:relativeTo="margin" w:alignment="right" w:leader="dot"/>
          </w:r>
          <w:r w:rsidRPr="00E248D4">
            <w:rPr>
              <w:rFonts w:ascii="Bookman Old Style" w:eastAsiaTheme="minorEastAsia" w:hAnsi="Bookman Old Style" w:cs="Times New Roman"/>
              <w:lang w:val="en-US"/>
            </w:rPr>
            <w:t>13</w:t>
          </w:r>
        </w:p>
        <w:p w14:paraId="30115BAC" w14:textId="77777777" w:rsidR="00E248D4" w:rsidRPr="00E248D4" w:rsidRDefault="00E248D4" w:rsidP="00E248D4">
          <w:pPr>
            <w:spacing w:after="0" w:line="276" w:lineRule="auto"/>
            <w:jc w:val="both"/>
            <w:rPr>
              <w:rFonts w:ascii="Bookman Old Style" w:hAnsi="Bookman Old Style"/>
            </w:rPr>
          </w:pPr>
          <w:r w:rsidRPr="00E248D4">
            <w:rPr>
              <w:rFonts w:ascii="Bookman Old Style" w:hAnsi="Bookman Old Style"/>
            </w:rPr>
            <w:t xml:space="preserve">  3.1 </w:t>
          </w:r>
          <w:r w:rsidRPr="00E248D4">
            <w:rPr>
              <w:rFonts w:ascii="Bookman Old Style" w:hAnsi="Bookman Old Style"/>
            </w:rPr>
            <w:tab/>
            <w:t>Potential Quick Wins/ Low Hanging Fruits</w:t>
          </w:r>
          <w:r w:rsidRPr="00E248D4">
            <w:rPr>
              <w:rFonts w:ascii="Bookman Old Style" w:hAnsi="Bookman Old Style"/>
            </w:rPr>
            <w:ptab w:relativeTo="margin" w:alignment="right" w:leader="dot"/>
          </w:r>
          <w:r w:rsidRPr="00E248D4">
            <w:rPr>
              <w:rFonts w:ascii="Bookman Old Style" w:hAnsi="Bookman Old Style"/>
            </w:rPr>
            <w:t>13</w:t>
          </w:r>
        </w:p>
        <w:p w14:paraId="24F6B086" w14:textId="77777777" w:rsidR="00E248D4" w:rsidRPr="00E248D4" w:rsidRDefault="00E248D4" w:rsidP="00E248D4">
          <w:pPr>
            <w:spacing w:after="0" w:line="276" w:lineRule="auto"/>
            <w:jc w:val="both"/>
            <w:rPr>
              <w:rFonts w:ascii="Bookman Old Style" w:eastAsiaTheme="minorEastAsia" w:hAnsi="Bookman Old Style" w:cs="Times New Roman"/>
              <w:lang w:val="en-US"/>
            </w:rPr>
          </w:pPr>
          <w:r w:rsidRPr="00E248D4">
            <w:rPr>
              <w:rFonts w:ascii="Bookman Old Style" w:eastAsiaTheme="minorEastAsia" w:hAnsi="Bookman Old Style" w:cs="Times New Roman"/>
              <w:lang w:val="en-US"/>
            </w:rPr>
            <w:t xml:space="preserve">  3.2</w:t>
          </w:r>
          <w:r w:rsidRPr="00E248D4">
            <w:rPr>
              <w:rFonts w:ascii="Bookman Old Style" w:eastAsiaTheme="minorEastAsia" w:hAnsi="Bookman Old Style" w:cs="Times New Roman"/>
              <w:lang w:val="en-US"/>
            </w:rPr>
            <w:tab/>
            <w:t xml:space="preserve"> Rising World Population as An Opportunity for Nigeria</w:t>
          </w:r>
          <w:r w:rsidRPr="00E248D4">
            <w:rPr>
              <w:rFonts w:ascii="Bookman Old Style" w:eastAsiaTheme="minorEastAsia" w:hAnsi="Bookman Old Style" w:cs="Times New Roman"/>
              <w:lang w:val="en-US"/>
            </w:rPr>
            <w:ptab w:relativeTo="margin" w:alignment="right" w:leader="dot"/>
          </w:r>
          <w:r w:rsidRPr="00E248D4">
            <w:rPr>
              <w:rFonts w:ascii="Bookman Old Style" w:eastAsiaTheme="minorEastAsia" w:hAnsi="Bookman Old Style" w:cs="Times New Roman"/>
              <w:lang w:val="en-US"/>
            </w:rPr>
            <w:t>15</w:t>
          </w:r>
        </w:p>
        <w:p w14:paraId="26DED2C2" w14:textId="77777777" w:rsidR="00E248D4" w:rsidRPr="00E248D4" w:rsidRDefault="00E248D4" w:rsidP="00E248D4">
          <w:pPr>
            <w:spacing w:after="0" w:line="276" w:lineRule="auto"/>
            <w:jc w:val="both"/>
            <w:rPr>
              <w:rFonts w:ascii="Bookman Old Style" w:hAnsi="Bookman Old Style"/>
            </w:rPr>
          </w:pPr>
          <w:r w:rsidRPr="00E248D4">
            <w:rPr>
              <w:rFonts w:ascii="Bookman Old Style" w:hAnsi="Bookman Old Style"/>
            </w:rPr>
            <w:t xml:space="preserve">  3.3 </w:t>
          </w:r>
          <w:r w:rsidRPr="00E248D4">
            <w:rPr>
              <w:rFonts w:ascii="Bookman Old Style" w:hAnsi="Bookman Old Style"/>
            </w:rPr>
            <w:tab/>
            <w:t xml:space="preserve">Medium Term Opportunities </w:t>
          </w:r>
          <w:r w:rsidRPr="00E248D4">
            <w:rPr>
              <w:rFonts w:ascii="Bookman Old Style" w:hAnsi="Bookman Old Style"/>
            </w:rPr>
            <w:ptab w:relativeTo="margin" w:alignment="right" w:leader="dot"/>
          </w:r>
          <w:r w:rsidRPr="00E248D4">
            <w:rPr>
              <w:rFonts w:ascii="Bookman Old Style" w:hAnsi="Bookman Old Style"/>
            </w:rPr>
            <w:t>16</w:t>
          </w:r>
        </w:p>
        <w:p w14:paraId="4D481A4B" w14:textId="77777777" w:rsidR="00E248D4" w:rsidRPr="00E248D4" w:rsidRDefault="00E248D4" w:rsidP="00E248D4">
          <w:pPr>
            <w:spacing w:after="0" w:line="276" w:lineRule="auto"/>
            <w:jc w:val="both"/>
            <w:rPr>
              <w:rFonts w:ascii="Bookman Old Style" w:eastAsiaTheme="minorEastAsia" w:hAnsi="Bookman Old Style" w:cs="Times New Roman"/>
              <w:lang w:val="en-US"/>
            </w:rPr>
          </w:pPr>
          <w:r w:rsidRPr="00E248D4">
            <w:rPr>
              <w:rFonts w:ascii="Bookman Old Style" w:eastAsiaTheme="minorEastAsia" w:hAnsi="Bookman Old Style" w:cs="Times New Roman"/>
              <w:lang w:val="en-US"/>
            </w:rPr>
            <w:t xml:space="preserve">  3.4</w:t>
          </w:r>
          <w:r w:rsidRPr="00E248D4">
            <w:rPr>
              <w:rFonts w:ascii="Bookman Old Style" w:eastAsiaTheme="minorEastAsia" w:hAnsi="Bookman Old Style" w:cs="Times New Roman"/>
              <w:lang w:val="en-US"/>
            </w:rPr>
            <w:tab/>
            <w:t xml:space="preserve"> Long Term Opportunities </w:t>
          </w:r>
          <w:r w:rsidRPr="00E248D4">
            <w:rPr>
              <w:rFonts w:ascii="Bookman Old Style" w:eastAsiaTheme="minorEastAsia" w:hAnsi="Bookman Old Style" w:cs="Times New Roman"/>
              <w:lang w:val="en-US"/>
            </w:rPr>
            <w:ptab w:relativeTo="margin" w:alignment="right" w:leader="dot"/>
          </w:r>
          <w:r w:rsidRPr="00E248D4">
            <w:rPr>
              <w:rFonts w:ascii="Bookman Old Style" w:eastAsiaTheme="minorEastAsia" w:hAnsi="Bookman Old Style" w:cs="Times New Roman"/>
              <w:lang w:val="en-US"/>
            </w:rPr>
            <w:t>17</w:t>
          </w:r>
        </w:p>
        <w:p w14:paraId="62258377" w14:textId="77777777" w:rsidR="00E248D4" w:rsidRPr="00E248D4" w:rsidRDefault="00E248D4" w:rsidP="00E248D4">
          <w:pPr>
            <w:autoSpaceDE w:val="0"/>
            <w:autoSpaceDN w:val="0"/>
            <w:adjustRightInd w:val="0"/>
            <w:spacing w:after="0" w:line="276" w:lineRule="auto"/>
            <w:jc w:val="both"/>
            <w:rPr>
              <w:rFonts w:ascii="Bookman Old Style" w:eastAsia="Times New Roman" w:hAnsi="Bookman Old Style" w:cs="Arial"/>
              <w:b/>
              <w:lang w:val="en-US"/>
            </w:rPr>
          </w:pPr>
        </w:p>
        <w:p w14:paraId="54314C5D" w14:textId="77777777" w:rsidR="00E248D4" w:rsidRPr="00E248D4" w:rsidRDefault="00E248D4" w:rsidP="00E248D4">
          <w:pPr>
            <w:autoSpaceDE w:val="0"/>
            <w:autoSpaceDN w:val="0"/>
            <w:adjustRightInd w:val="0"/>
            <w:spacing w:after="0" w:line="276" w:lineRule="auto"/>
            <w:jc w:val="both"/>
            <w:rPr>
              <w:rFonts w:ascii="Bookman Old Style" w:eastAsia="Times New Roman" w:hAnsi="Bookman Old Style" w:cs="Arial"/>
              <w:bCs/>
              <w:lang w:val="en-US"/>
            </w:rPr>
          </w:pPr>
          <w:r w:rsidRPr="00E248D4">
            <w:rPr>
              <w:rFonts w:ascii="Bookman Old Style" w:eastAsia="Times New Roman" w:hAnsi="Bookman Old Style" w:cs="Arial"/>
              <w:b/>
              <w:lang w:val="en-US"/>
            </w:rPr>
            <w:t>Section 4: Targeted Policy and Institutional Reforms</w:t>
          </w:r>
          <w:r w:rsidRPr="00E248D4">
            <w:rPr>
              <w:rFonts w:ascii="Bookman Old Style" w:eastAsia="Times New Roman" w:hAnsi="Bookman Old Style" w:cs="Arial"/>
              <w:bCs/>
              <w:lang w:val="en-US"/>
            </w:rPr>
            <w:ptab w:relativeTo="margin" w:alignment="right" w:leader="dot"/>
          </w:r>
          <w:r w:rsidRPr="00E248D4">
            <w:rPr>
              <w:rFonts w:ascii="Bookman Old Style" w:eastAsia="Times New Roman" w:hAnsi="Bookman Old Style" w:cs="Arial"/>
              <w:b/>
              <w:bCs/>
              <w:lang w:val="en-US"/>
            </w:rPr>
            <w:t>19</w:t>
          </w:r>
        </w:p>
        <w:p w14:paraId="024B675A" w14:textId="77777777" w:rsidR="00E248D4" w:rsidRPr="00E248D4" w:rsidRDefault="00E248D4" w:rsidP="00E248D4">
          <w:pPr>
            <w:spacing w:after="0" w:line="276" w:lineRule="auto"/>
            <w:jc w:val="both"/>
            <w:rPr>
              <w:rFonts w:ascii="Bookman Old Style" w:eastAsiaTheme="minorEastAsia" w:hAnsi="Bookman Old Style" w:cs="Times New Roman"/>
              <w:lang w:val="en-US"/>
            </w:rPr>
          </w:pPr>
          <w:r w:rsidRPr="00E248D4">
            <w:rPr>
              <w:rFonts w:ascii="Bookman Old Style" w:eastAsiaTheme="minorEastAsia" w:hAnsi="Bookman Old Style" w:cs="Times New Roman"/>
              <w:lang w:val="en-US"/>
            </w:rPr>
            <w:t xml:space="preserve">  4.0 Introduction</w:t>
          </w:r>
          <w:r w:rsidRPr="00E248D4">
            <w:rPr>
              <w:rFonts w:ascii="Bookman Old Style" w:eastAsiaTheme="minorEastAsia" w:hAnsi="Bookman Old Style" w:cs="Times New Roman"/>
              <w:lang w:val="en-US"/>
            </w:rPr>
            <w:ptab w:relativeTo="margin" w:alignment="right" w:leader="dot"/>
          </w:r>
          <w:r w:rsidRPr="00E248D4">
            <w:rPr>
              <w:rFonts w:ascii="Bookman Old Style" w:eastAsiaTheme="minorEastAsia" w:hAnsi="Bookman Old Style" w:cs="Times New Roman"/>
              <w:lang w:val="en-US"/>
            </w:rPr>
            <w:t>19</w:t>
          </w:r>
        </w:p>
        <w:p w14:paraId="21C899D3" w14:textId="77777777" w:rsidR="00E248D4" w:rsidRPr="00E248D4" w:rsidRDefault="00E248D4" w:rsidP="00E248D4">
          <w:pPr>
            <w:spacing w:after="0" w:line="276" w:lineRule="auto"/>
            <w:jc w:val="both"/>
            <w:rPr>
              <w:rFonts w:ascii="Bookman Old Style" w:hAnsi="Bookman Old Style"/>
            </w:rPr>
          </w:pPr>
          <w:r w:rsidRPr="00E248D4">
            <w:rPr>
              <w:rFonts w:ascii="Bookman Old Style" w:hAnsi="Bookman Old Style"/>
            </w:rPr>
            <w:t xml:space="preserve">  4.1 Building Non-Oil Exports: The Need for Export Incentives</w:t>
          </w:r>
          <w:r w:rsidRPr="00E248D4">
            <w:rPr>
              <w:rFonts w:ascii="Bookman Old Style" w:hAnsi="Bookman Old Style"/>
            </w:rPr>
            <w:ptab w:relativeTo="margin" w:alignment="right" w:leader="dot"/>
          </w:r>
          <w:r w:rsidRPr="00E248D4">
            <w:rPr>
              <w:rFonts w:ascii="Bookman Old Style" w:hAnsi="Bookman Old Style"/>
            </w:rPr>
            <w:t>19</w:t>
          </w:r>
        </w:p>
        <w:p w14:paraId="27C1FAFD" w14:textId="77777777" w:rsidR="00E248D4" w:rsidRPr="00E248D4" w:rsidRDefault="00E248D4" w:rsidP="00E248D4">
          <w:pPr>
            <w:spacing w:after="0" w:line="276" w:lineRule="auto"/>
            <w:jc w:val="both"/>
            <w:rPr>
              <w:rFonts w:ascii="Bookman Old Style" w:eastAsiaTheme="minorEastAsia" w:hAnsi="Bookman Old Style" w:cs="Times New Roman"/>
              <w:lang w:val="en-US"/>
            </w:rPr>
          </w:pPr>
          <w:r w:rsidRPr="00E248D4">
            <w:rPr>
              <w:rFonts w:ascii="Bookman Old Style" w:eastAsiaTheme="minorEastAsia" w:hAnsi="Bookman Old Style" w:cs="Times New Roman"/>
              <w:lang w:val="en-US"/>
            </w:rPr>
            <w:t xml:space="preserve">  4.2 Supporting Non-oil Export through Incentives: Examples from </w:t>
          </w:r>
        </w:p>
        <w:p w14:paraId="57C68364" w14:textId="77777777" w:rsidR="00E248D4" w:rsidRPr="00E248D4" w:rsidRDefault="00E248D4" w:rsidP="00E248D4">
          <w:pPr>
            <w:spacing w:after="0" w:line="276" w:lineRule="auto"/>
            <w:ind w:firstLine="720"/>
            <w:jc w:val="both"/>
            <w:rPr>
              <w:rFonts w:ascii="Bookman Old Style" w:eastAsiaTheme="minorEastAsia" w:hAnsi="Bookman Old Style" w:cs="Times New Roman"/>
              <w:lang w:val="en-US"/>
            </w:rPr>
          </w:pPr>
          <w:r w:rsidRPr="00E248D4">
            <w:rPr>
              <w:rFonts w:ascii="Bookman Old Style" w:eastAsiaTheme="minorEastAsia" w:hAnsi="Bookman Old Style" w:cs="Times New Roman"/>
              <w:lang w:val="en-US"/>
            </w:rPr>
            <w:t>Other Countries</w:t>
          </w:r>
          <w:r w:rsidRPr="00E248D4">
            <w:rPr>
              <w:rFonts w:ascii="Bookman Old Style" w:eastAsiaTheme="minorEastAsia" w:hAnsi="Bookman Old Style" w:cs="Times New Roman"/>
              <w:lang w:val="en-US"/>
            </w:rPr>
            <w:ptab w:relativeTo="margin" w:alignment="right" w:leader="dot"/>
          </w:r>
          <w:r w:rsidRPr="00E248D4">
            <w:rPr>
              <w:rFonts w:ascii="Bookman Old Style" w:eastAsiaTheme="minorEastAsia" w:hAnsi="Bookman Old Style" w:cs="Times New Roman"/>
              <w:lang w:val="en-US"/>
            </w:rPr>
            <w:t>22</w:t>
          </w:r>
        </w:p>
        <w:p w14:paraId="75AB781B" w14:textId="77777777" w:rsidR="00E248D4" w:rsidRPr="00E248D4" w:rsidRDefault="00E248D4" w:rsidP="00E248D4">
          <w:pPr>
            <w:spacing w:after="0" w:line="276" w:lineRule="auto"/>
            <w:jc w:val="both"/>
            <w:rPr>
              <w:rFonts w:ascii="Bookman Old Style" w:hAnsi="Bookman Old Style"/>
            </w:rPr>
          </w:pPr>
          <w:r w:rsidRPr="00E248D4">
            <w:rPr>
              <w:rFonts w:ascii="Bookman Old Style" w:hAnsi="Bookman Old Style"/>
            </w:rPr>
            <w:t xml:space="preserve">  4.3 The Export Expansion Grant (EEG)</w:t>
          </w:r>
          <w:r w:rsidRPr="00E248D4">
            <w:rPr>
              <w:rFonts w:ascii="Bookman Old Style" w:hAnsi="Bookman Old Style"/>
            </w:rPr>
            <w:ptab w:relativeTo="margin" w:alignment="right" w:leader="dot"/>
          </w:r>
          <w:r w:rsidRPr="00E248D4">
            <w:rPr>
              <w:rFonts w:ascii="Bookman Old Style" w:hAnsi="Bookman Old Style"/>
            </w:rPr>
            <w:t>27</w:t>
          </w:r>
        </w:p>
        <w:p w14:paraId="4E2B8969" w14:textId="77777777" w:rsidR="00E248D4" w:rsidRPr="00E248D4" w:rsidRDefault="00E248D4" w:rsidP="00E248D4">
          <w:pPr>
            <w:spacing w:after="0" w:line="276" w:lineRule="auto"/>
            <w:jc w:val="both"/>
            <w:rPr>
              <w:rFonts w:ascii="Bookman Old Style" w:eastAsiaTheme="minorEastAsia" w:hAnsi="Bookman Old Style" w:cs="Times New Roman"/>
              <w:lang w:val="en-US"/>
            </w:rPr>
          </w:pPr>
          <w:r w:rsidRPr="00E248D4">
            <w:rPr>
              <w:rFonts w:ascii="Bookman Old Style" w:eastAsiaTheme="minorEastAsia" w:hAnsi="Bookman Old Style" w:cs="Times New Roman"/>
              <w:lang w:val="en-US"/>
            </w:rPr>
            <w:t xml:space="preserve">  4.4 Resolving the Impasse</w:t>
          </w:r>
          <w:r w:rsidRPr="00E248D4">
            <w:rPr>
              <w:rFonts w:ascii="Bookman Old Style" w:eastAsiaTheme="minorEastAsia" w:hAnsi="Bookman Old Style" w:cs="Times New Roman"/>
              <w:lang w:val="en-US"/>
            </w:rPr>
            <w:ptab w:relativeTo="margin" w:alignment="right" w:leader="dot"/>
          </w:r>
          <w:r w:rsidRPr="00E248D4">
            <w:rPr>
              <w:rFonts w:ascii="Bookman Old Style" w:eastAsiaTheme="minorEastAsia" w:hAnsi="Bookman Old Style" w:cs="Times New Roman"/>
              <w:lang w:val="en-US"/>
            </w:rPr>
            <w:t>31</w:t>
          </w:r>
        </w:p>
        <w:p w14:paraId="774366AB" w14:textId="77777777" w:rsidR="00E248D4" w:rsidRPr="00E248D4" w:rsidRDefault="00E248D4" w:rsidP="00E248D4">
          <w:pPr>
            <w:spacing w:after="0" w:line="276" w:lineRule="auto"/>
            <w:jc w:val="both"/>
            <w:rPr>
              <w:rFonts w:ascii="Bookman Old Style" w:hAnsi="Bookman Old Style"/>
            </w:rPr>
          </w:pPr>
          <w:r w:rsidRPr="00E248D4">
            <w:rPr>
              <w:rFonts w:ascii="Bookman Old Style" w:hAnsi="Bookman Old Style"/>
            </w:rPr>
            <w:t xml:space="preserve">  4.5 Renegotiate unutilized NDCCs and Claims-in-the-Pipeline</w:t>
          </w:r>
          <w:r w:rsidRPr="00E248D4">
            <w:rPr>
              <w:rFonts w:ascii="Bookman Old Style" w:hAnsi="Bookman Old Style"/>
            </w:rPr>
            <w:ptab w:relativeTo="margin" w:alignment="right" w:leader="dot"/>
          </w:r>
          <w:r w:rsidRPr="00E248D4">
            <w:rPr>
              <w:rFonts w:ascii="Bookman Old Style" w:hAnsi="Bookman Old Style"/>
            </w:rPr>
            <w:t>32</w:t>
          </w:r>
        </w:p>
        <w:p w14:paraId="6FC6B30B" w14:textId="77777777" w:rsidR="00E248D4" w:rsidRPr="00E248D4" w:rsidRDefault="00E248D4" w:rsidP="00E248D4">
          <w:pPr>
            <w:spacing w:after="0" w:line="276" w:lineRule="auto"/>
            <w:jc w:val="both"/>
            <w:rPr>
              <w:rFonts w:ascii="Bookman Old Style" w:eastAsiaTheme="minorEastAsia" w:hAnsi="Bookman Old Style" w:cs="Times New Roman"/>
              <w:lang w:val="en-US"/>
            </w:rPr>
          </w:pPr>
          <w:r w:rsidRPr="00E248D4">
            <w:rPr>
              <w:rFonts w:ascii="Bookman Old Style" w:eastAsiaTheme="minorEastAsia" w:hAnsi="Bookman Old Style" w:cs="Times New Roman"/>
              <w:lang w:val="en-US"/>
            </w:rPr>
            <w:t xml:space="preserve">  4.6 Policy Stability and Continuity</w:t>
          </w:r>
          <w:r w:rsidRPr="00E248D4">
            <w:rPr>
              <w:rFonts w:ascii="Bookman Old Style" w:eastAsiaTheme="minorEastAsia" w:hAnsi="Bookman Old Style" w:cs="Times New Roman"/>
              <w:lang w:val="en-US"/>
            </w:rPr>
            <w:ptab w:relativeTo="margin" w:alignment="right" w:leader="dot"/>
          </w:r>
          <w:r w:rsidRPr="00E248D4">
            <w:rPr>
              <w:rFonts w:ascii="Bookman Old Style" w:eastAsiaTheme="minorEastAsia" w:hAnsi="Bookman Old Style" w:cs="Times New Roman"/>
              <w:lang w:val="en-US"/>
            </w:rPr>
            <w:t>33</w:t>
          </w:r>
        </w:p>
        <w:p w14:paraId="34CF8FD4" w14:textId="77777777" w:rsidR="00E248D4" w:rsidRPr="00E248D4" w:rsidRDefault="00E248D4" w:rsidP="00E248D4">
          <w:pPr>
            <w:spacing w:after="0" w:line="276" w:lineRule="auto"/>
            <w:jc w:val="both"/>
            <w:rPr>
              <w:rFonts w:ascii="Bookman Old Style" w:hAnsi="Bookman Old Style"/>
            </w:rPr>
          </w:pPr>
          <w:r w:rsidRPr="00E248D4">
            <w:rPr>
              <w:rFonts w:ascii="Bookman Old Style" w:hAnsi="Bookman Old Style"/>
            </w:rPr>
            <w:t xml:space="preserve">  4.7 Involving the State Governments</w:t>
          </w:r>
          <w:r w:rsidRPr="00E248D4">
            <w:rPr>
              <w:rFonts w:ascii="Bookman Old Style" w:hAnsi="Bookman Old Style"/>
            </w:rPr>
            <w:ptab w:relativeTo="margin" w:alignment="right" w:leader="dot"/>
          </w:r>
          <w:r w:rsidRPr="00E248D4">
            <w:rPr>
              <w:rFonts w:ascii="Bookman Old Style" w:hAnsi="Bookman Old Style"/>
            </w:rPr>
            <w:t>33</w:t>
          </w:r>
        </w:p>
        <w:p w14:paraId="19CD81F9" w14:textId="77777777" w:rsidR="00E248D4" w:rsidRPr="00E248D4" w:rsidRDefault="00E248D4" w:rsidP="00E248D4">
          <w:pPr>
            <w:spacing w:after="0" w:line="276" w:lineRule="auto"/>
            <w:jc w:val="both"/>
            <w:rPr>
              <w:rFonts w:ascii="Bookman Old Style" w:eastAsiaTheme="minorEastAsia" w:hAnsi="Bookman Old Style" w:cs="Times New Roman"/>
              <w:lang w:val="en-US"/>
            </w:rPr>
          </w:pPr>
          <w:r w:rsidRPr="00E248D4">
            <w:rPr>
              <w:rFonts w:ascii="Bookman Old Style" w:eastAsiaTheme="minorEastAsia" w:hAnsi="Bookman Old Style" w:cs="Times New Roman"/>
              <w:lang w:val="en-US"/>
            </w:rPr>
            <w:t xml:space="preserve">  4.8 Recommendation</w:t>
          </w:r>
          <w:r w:rsidRPr="00E248D4">
            <w:rPr>
              <w:rFonts w:ascii="Bookman Old Style" w:eastAsiaTheme="minorEastAsia" w:hAnsi="Bookman Old Style" w:cs="Times New Roman"/>
              <w:lang w:val="en-US"/>
            </w:rPr>
            <w:ptab w:relativeTo="margin" w:alignment="right" w:leader="dot"/>
          </w:r>
          <w:r w:rsidRPr="00E248D4">
            <w:rPr>
              <w:rFonts w:ascii="Bookman Old Style" w:eastAsiaTheme="minorEastAsia" w:hAnsi="Bookman Old Style" w:cs="Times New Roman"/>
              <w:lang w:val="en-US"/>
            </w:rPr>
            <w:t>34</w:t>
          </w:r>
        </w:p>
        <w:p w14:paraId="7BFFEBA5" w14:textId="77777777" w:rsidR="00E248D4" w:rsidRPr="00E248D4" w:rsidRDefault="00E248D4" w:rsidP="00E248D4">
          <w:pPr>
            <w:spacing w:after="0" w:line="276" w:lineRule="auto"/>
            <w:jc w:val="both"/>
            <w:rPr>
              <w:rFonts w:ascii="Bookman Old Style" w:hAnsi="Bookman Old Style"/>
            </w:rPr>
          </w:pPr>
          <w:r w:rsidRPr="00E248D4">
            <w:rPr>
              <w:rFonts w:ascii="Bookman Old Style" w:hAnsi="Bookman Old Style"/>
            </w:rPr>
            <w:t xml:space="preserve">  4.9 Regular Consultation between the Government and the Private Sector</w:t>
          </w:r>
          <w:r w:rsidRPr="00E248D4">
            <w:rPr>
              <w:rFonts w:ascii="Bookman Old Style" w:hAnsi="Bookman Old Style"/>
            </w:rPr>
            <w:ptab w:relativeTo="margin" w:alignment="right" w:leader="dot"/>
          </w:r>
          <w:r w:rsidRPr="00E248D4">
            <w:rPr>
              <w:rFonts w:ascii="Bookman Old Style" w:hAnsi="Bookman Old Style"/>
            </w:rPr>
            <w:t>37</w:t>
          </w:r>
        </w:p>
        <w:p w14:paraId="24001001" w14:textId="77777777" w:rsidR="00E248D4" w:rsidRPr="00E248D4" w:rsidRDefault="00E248D4" w:rsidP="00E248D4">
          <w:pPr>
            <w:autoSpaceDE w:val="0"/>
            <w:autoSpaceDN w:val="0"/>
            <w:adjustRightInd w:val="0"/>
            <w:spacing w:after="0" w:line="276" w:lineRule="auto"/>
            <w:jc w:val="both"/>
            <w:rPr>
              <w:rFonts w:ascii="Bookman Old Style" w:eastAsia="Times New Roman" w:hAnsi="Bookman Old Style" w:cs="Arial"/>
              <w:b/>
              <w:lang w:val="en-US"/>
            </w:rPr>
          </w:pPr>
        </w:p>
        <w:p w14:paraId="3172C1F8" w14:textId="77777777" w:rsidR="00E248D4" w:rsidRPr="00E248D4" w:rsidRDefault="00E248D4" w:rsidP="00E248D4">
          <w:pPr>
            <w:autoSpaceDE w:val="0"/>
            <w:autoSpaceDN w:val="0"/>
            <w:adjustRightInd w:val="0"/>
            <w:spacing w:after="0" w:line="276" w:lineRule="auto"/>
            <w:jc w:val="both"/>
            <w:rPr>
              <w:rFonts w:ascii="Bookman Old Style" w:eastAsia="Times New Roman" w:hAnsi="Bookman Old Style" w:cs="Arial"/>
              <w:b/>
              <w:lang w:val="en-US"/>
            </w:rPr>
          </w:pPr>
          <w:r w:rsidRPr="00E248D4">
            <w:rPr>
              <w:rFonts w:ascii="Bookman Old Style" w:eastAsia="Times New Roman" w:hAnsi="Bookman Old Style" w:cs="Arial"/>
              <w:b/>
              <w:lang w:val="en-US"/>
            </w:rPr>
            <w:t xml:space="preserve">Section 5: Spurring Trade Growth Through a New Trade </w:t>
          </w:r>
        </w:p>
        <w:p w14:paraId="1A880523" w14:textId="77777777" w:rsidR="00E248D4" w:rsidRPr="00E248D4" w:rsidRDefault="00E248D4" w:rsidP="00E248D4">
          <w:pPr>
            <w:autoSpaceDE w:val="0"/>
            <w:autoSpaceDN w:val="0"/>
            <w:adjustRightInd w:val="0"/>
            <w:spacing w:after="0" w:line="276" w:lineRule="auto"/>
            <w:ind w:firstLine="720"/>
            <w:jc w:val="both"/>
            <w:rPr>
              <w:rFonts w:ascii="Bookman Old Style" w:eastAsia="Times New Roman" w:hAnsi="Bookman Old Style" w:cs="Arial"/>
              <w:bCs/>
              <w:lang w:val="en-US"/>
            </w:rPr>
          </w:pPr>
          <w:r w:rsidRPr="00E248D4">
            <w:rPr>
              <w:rFonts w:ascii="Bookman Old Style" w:eastAsia="Times New Roman" w:hAnsi="Bookman Old Style" w:cs="Arial"/>
              <w:b/>
              <w:lang w:val="en-US"/>
            </w:rPr>
            <w:t>Facilitation Agreement</w:t>
          </w:r>
          <w:r w:rsidRPr="00E248D4">
            <w:rPr>
              <w:rFonts w:ascii="Bookman Old Style" w:eastAsia="Times New Roman" w:hAnsi="Bookman Old Style" w:cs="Arial"/>
              <w:bCs/>
              <w:lang w:val="en-US"/>
            </w:rPr>
            <w:ptab w:relativeTo="margin" w:alignment="right" w:leader="dot"/>
          </w:r>
          <w:r w:rsidRPr="00E248D4">
            <w:rPr>
              <w:rFonts w:ascii="Bookman Old Style" w:eastAsia="Times New Roman" w:hAnsi="Bookman Old Style" w:cs="Arial"/>
              <w:b/>
              <w:bCs/>
              <w:lang w:val="en-US"/>
            </w:rPr>
            <w:t>40</w:t>
          </w:r>
        </w:p>
        <w:p w14:paraId="6F39D279" w14:textId="77777777" w:rsidR="00E248D4" w:rsidRPr="00E248D4" w:rsidRDefault="00E248D4" w:rsidP="00E248D4">
          <w:pPr>
            <w:spacing w:after="0" w:line="276" w:lineRule="auto"/>
            <w:jc w:val="both"/>
            <w:rPr>
              <w:rFonts w:ascii="Bookman Old Style" w:eastAsiaTheme="minorEastAsia" w:hAnsi="Bookman Old Style" w:cs="Times New Roman"/>
              <w:lang w:val="en-US"/>
            </w:rPr>
          </w:pPr>
          <w:r w:rsidRPr="00E248D4">
            <w:rPr>
              <w:rFonts w:ascii="Bookman Old Style" w:eastAsiaTheme="minorEastAsia" w:hAnsi="Bookman Old Style" w:cs="Times New Roman"/>
              <w:lang w:val="en-US"/>
            </w:rPr>
            <w:t xml:space="preserve">  5.1 Introduction</w:t>
          </w:r>
          <w:r w:rsidRPr="00E248D4">
            <w:rPr>
              <w:rFonts w:ascii="Bookman Old Style" w:eastAsiaTheme="minorEastAsia" w:hAnsi="Bookman Old Style" w:cs="Times New Roman"/>
              <w:lang w:val="en-US"/>
            </w:rPr>
            <w:ptab w:relativeTo="margin" w:alignment="right" w:leader="dot"/>
          </w:r>
          <w:r w:rsidRPr="00E248D4">
            <w:rPr>
              <w:rFonts w:ascii="Bookman Old Style" w:eastAsiaTheme="minorEastAsia" w:hAnsi="Bookman Old Style" w:cs="Times New Roman"/>
              <w:lang w:val="en-US"/>
            </w:rPr>
            <w:t>40</w:t>
          </w:r>
        </w:p>
        <w:p w14:paraId="184C6618" w14:textId="77777777" w:rsidR="00E248D4" w:rsidRPr="00E248D4" w:rsidRDefault="00E248D4" w:rsidP="00E248D4">
          <w:pPr>
            <w:spacing w:after="0" w:line="276" w:lineRule="auto"/>
            <w:jc w:val="both"/>
            <w:rPr>
              <w:rFonts w:ascii="Bookman Old Style" w:hAnsi="Bookman Old Style"/>
            </w:rPr>
          </w:pPr>
          <w:r w:rsidRPr="00E248D4">
            <w:rPr>
              <w:rFonts w:ascii="Bookman Old Style" w:hAnsi="Bookman Old Style"/>
            </w:rPr>
            <w:t xml:space="preserve">  5.2: Trade Performance of Nigeria </w:t>
          </w:r>
          <w:r w:rsidRPr="00E248D4">
            <w:rPr>
              <w:rFonts w:ascii="Bookman Old Style" w:hAnsi="Bookman Old Style"/>
            </w:rPr>
            <w:ptab w:relativeTo="margin" w:alignment="right" w:leader="dot"/>
          </w:r>
          <w:r w:rsidRPr="00E248D4">
            <w:rPr>
              <w:rFonts w:ascii="Bookman Old Style" w:hAnsi="Bookman Old Style"/>
            </w:rPr>
            <w:t>41</w:t>
          </w:r>
        </w:p>
        <w:p w14:paraId="45F55D31" w14:textId="77777777" w:rsidR="00E248D4" w:rsidRPr="00E248D4" w:rsidRDefault="00E248D4" w:rsidP="00E248D4">
          <w:pPr>
            <w:spacing w:after="0" w:line="276" w:lineRule="auto"/>
            <w:jc w:val="both"/>
            <w:rPr>
              <w:rFonts w:ascii="Bookman Old Style" w:eastAsiaTheme="minorEastAsia" w:hAnsi="Bookman Old Style" w:cs="Times New Roman"/>
              <w:lang w:val="en-US"/>
            </w:rPr>
          </w:pPr>
          <w:r w:rsidRPr="00E248D4">
            <w:rPr>
              <w:rFonts w:ascii="Bookman Old Style" w:eastAsiaTheme="minorEastAsia" w:hAnsi="Bookman Old Style" w:cs="Times New Roman"/>
              <w:lang w:val="en-US"/>
            </w:rPr>
            <w:t xml:space="preserve">  5.3 Basic Description of WTO Trade Facilitation Agreements</w:t>
          </w:r>
          <w:r w:rsidRPr="00E248D4">
            <w:rPr>
              <w:rFonts w:ascii="Bookman Old Style" w:eastAsiaTheme="minorEastAsia" w:hAnsi="Bookman Old Style" w:cs="Times New Roman"/>
              <w:lang w:val="en-US"/>
            </w:rPr>
            <w:ptab w:relativeTo="margin" w:alignment="right" w:leader="dot"/>
          </w:r>
          <w:r w:rsidRPr="00E248D4">
            <w:rPr>
              <w:rFonts w:ascii="Bookman Old Style" w:eastAsiaTheme="minorEastAsia" w:hAnsi="Bookman Old Style" w:cs="Times New Roman"/>
              <w:lang w:val="en-US"/>
            </w:rPr>
            <w:t>46</w:t>
          </w:r>
        </w:p>
        <w:p w14:paraId="7104FCA9" w14:textId="77777777" w:rsidR="00E248D4" w:rsidRPr="00E248D4" w:rsidRDefault="00E248D4" w:rsidP="00E248D4">
          <w:pPr>
            <w:spacing w:after="0" w:line="276" w:lineRule="auto"/>
            <w:jc w:val="both"/>
            <w:rPr>
              <w:rFonts w:ascii="Bookman Old Style" w:hAnsi="Bookman Old Style"/>
            </w:rPr>
          </w:pPr>
          <w:r w:rsidRPr="00E248D4">
            <w:rPr>
              <w:rFonts w:ascii="Bookman Old Style" w:hAnsi="Bookman Old Style"/>
            </w:rPr>
            <w:t xml:space="preserve">  5.4 TFA and Implementation Challenges</w:t>
          </w:r>
          <w:r w:rsidRPr="00E248D4">
            <w:rPr>
              <w:rFonts w:ascii="Bookman Old Style" w:hAnsi="Bookman Old Style"/>
            </w:rPr>
            <w:ptab w:relativeTo="margin" w:alignment="right" w:leader="dot"/>
          </w:r>
          <w:r w:rsidRPr="00E248D4">
            <w:rPr>
              <w:rFonts w:ascii="Bookman Old Style" w:hAnsi="Bookman Old Style"/>
            </w:rPr>
            <w:t>49</w:t>
          </w:r>
        </w:p>
        <w:p w14:paraId="675DD3C2" w14:textId="77777777" w:rsidR="00E248D4" w:rsidRPr="00E248D4" w:rsidRDefault="00E248D4" w:rsidP="00E248D4">
          <w:pPr>
            <w:spacing w:after="0" w:line="276" w:lineRule="auto"/>
            <w:jc w:val="both"/>
            <w:rPr>
              <w:rFonts w:ascii="Bookman Old Style" w:hAnsi="Bookman Old Style"/>
            </w:rPr>
          </w:pPr>
          <w:r w:rsidRPr="00E248D4">
            <w:rPr>
              <w:rFonts w:ascii="Bookman Old Style" w:hAnsi="Bookman Old Style"/>
            </w:rPr>
            <w:t xml:space="preserve">  5.5 Factors for the Implementation of TFA</w:t>
          </w:r>
          <w:r w:rsidRPr="00E248D4">
            <w:rPr>
              <w:rFonts w:ascii="Bookman Old Style" w:hAnsi="Bookman Old Style"/>
            </w:rPr>
            <w:ptab w:relativeTo="margin" w:alignment="right" w:leader="dot"/>
          </w:r>
          <w:r w:rsidRPr="00E248D4">
            <w:rPr>
              <w:rFonts w:ascii="Bookman Old Style" w:hAnsi="Bookman Old Style"/>
            </w:rPr>
            <w:t>53</w:t>
          </w:r>
        </w:p>
        <w:p w14:paraId="159196C4" w14:textId="77777777" w:rsidR="00E248D4" w:rsidRPr="00E248D4" w:rsidRDefault="00E248D4" w:rsidP="00E248D4">
          <w:pPr>
            <w:autoSpaceDE w:val="0"/>
            <w:autoSpaceDN w:val="0"/>
            <w:adjustRightInd w:val="0"/>
            <w:spacing w:after="0" w:line="276" w:lineRule="auto"/>
            <w:jc w:val="both"/>
            <w:rPr>
              <w:rFonts w:ascii="Bookman Old Style" w:eastAsia="Times New Roman" w:hAnsi="Bookman Old Style" w:cs="Arial"/>
              <w:b/>
              <w:lang w:val="en-US"/>
            </w:rPr>
          </w:pPr>
        </w:p>
        <w:p w14:paraId="2762903E" w14:textId="77777777" w:rsidR="00E248D4" w:rsidRDefault="00E248D4" w:rsidP="00E248D4">
          <w:pPr>
            <w:autoSpaceDE w:val="0"/>
            <w:autoSpaceDN w:val="0"/>
            <w:adjustRightInd w:val="0"/>
            <w:spacing w:after="0" w:line="276" w:lineRule="auto"/>
            <w:jc w:val="both"/>
          </w:pPr>
          <w:r w:rsidRPr="00E248D4">
            <w:rPr>
              <w:rFonts w:ascii="Bookman Old Style" w:eastAsia="Times New Roman" w:hAnsi="Bookman Old Style" w:cs="Arial"/>
              <w:b/>
              <w:lang w:val="en-US"/>
            </w:rPr>
            <w:t>Section 6: Summary and Conclusion</w:t>
          </w:r>
          <w:r w:rsidRPr="00E248D4">
            <w:rPr>
              <w:rFonts w:ascii="Bookman Old Style" w:eastAsia="Times New Roman" w:hAnsi="Bookman Old Style" w:cs="Arial"/>
              <w:bCs/>
              <w:lang w:val="en-US"/>
            </w:rPr>
            <w:ptab w:relativeTo="margin" w:alignment="right" w:leader="dot"/>
          </w:r>
          <w:r w:rsidRPr="00E248D4">
            <w:rPr>
              <w:rFonts w:ascii="Bookman Old Style" w:eastAsia="Times New Roman" w:hAnsi="Bookman Old Style" w:cs="Arial"/>
              <w:b/>
              <w:bCs/>
              <w:lang w:val="en-US"/>
            </w:rPr>
            <w:t>59</w:t>
          </w:r>
        </w:p>
      </w:sdtContent>
    </w:sdt>
    <w:sdt>
      <w:sdtPr>
        <w:rPr>
          <w:rFonts w:ascii="Bookman Old Style" w:eastAsiaTheme="majorEastAsia" w:hAnsi="Bookman Old Style" w:cstheme="majorBidi"/>
          <w:b/>
          <w:color w:val="2F5496" w:themeColor="accent1" w:themeShade="BF"/>
          <w:sz w:val="24"/>
          <w:szCs w:val="24"/>
          <w:lang w:val="en-US"/>
        </w:rPr>
        <w:id w:val="887149011"/>
        <w:docPartObj>
          <w:docPartGallery w:val="Table of Contents"/>
          <w:docPartUnique/>
        </w:docPartObj>
      </w:sdtPr>
      <w:sdtEndPr>
        <w:rPr>
          <w:rFonts w:asciiTheme="minorHAnsi" w:eastAsiaTheme="minorEastAsia" w:hAnsiTheme="minorHAnsi" w:cs="Times New Roman"/>
          <w:b w:val="0"/>
          <w:color w:val="auto"/>
          <w:sz w:val="22"/>
          <w:szCs w:val="22"/>
        </w:rPr>
      </w:sdtEndPr>
      <w:sdtContent>
        <w:p w14:paraId="6F36309E" w14:textId="42E6F109" w:rsidR="008A524E" w:rsidRPr="00755437" w:rsidRDefault="008A524E" w:rsidP="008A524E">
          <w:pPr>
            <w:keepNext/>
            <w:keepLines/>
            <w:spacing w:before="240" w:after="0"/>
            <w:jc w:val="both"/>
            <w:rPr>
              <w:rFonts w:ascii="Bookman Old Style" w:eastAsiaTheme="majorEastAsia" w:hAnsi="Bookman Old Style" w:cstheme="majorBidi"/>
              <w:b/>
              <w:sz w:val="32"/>
              <w:szCs w:val="32"/>
              <w:lang w:val="en-US"/>
            </w:rPr>
          </w:pPr>
          <w:r w:rsidRPr="008A524E">
            <w:rPr>
              <w:rFonts w:ascii="Bookman Old Style" w:eastAsiaTheme="majorEastAsia" w:hAnsi="Bookman Old Style" w:cstheme="majorBidi"/>
              <w:b/>
              <w:sz w:val="32"/>
              <w:szCs w:val="32"/>
              <w:lang w:val="en-US"/>
            </w:rPr>
            <w:t>Tables</w:t>
          </w:r>
        </w:p>
        <w:p w14:paraId="30B9C4E8" w14:textId="77777777" w:rsidR="008A524E" w:rsidRPr="008A524E" w:rsidRDefault="008A524E" w:rsidP="008A524E">
          <w:pPr>
            <w:keepNext/>
            <w:keepLines/>
            <w:spacing w:before="240" w:after="0"/>
            <w:jc w:val="both"/>
            <w:rPr>
              <w:rFonts w:ascii="Bookman Old Style" w:eastAsiaTheme="majorEastAsia" w:hAnsi="Bookman Old Style" w:cstheme="majorBidi"/>
              <w:b/>
              <w:color w:val="2F5496" w:themeColor="accent1" w:themeShade="BF"/>
              <w:sz w:val="24"/>
              <w:szCs w:val="24"/>
              <w:lang w:val="en-US"/>
            </w:rPr>
          </w:pPr>
        </w:p>
        <w:p w14:paraId="6E312CE0" w14:textId="77777777" w:rsidR="00755437" w:rsidRDefault="008A524E" w:rsidP="00755437">
          <w:pPr>
            <w:spacing w:after="100" w:line="360" w:lineRule="auto"/>
            <w:jc w:val="both"/>
            <w:rPr>
              <w:rFonts w:ascii="Bookman Old Style" w:eastAsiaTheme="minorEastAsia" w:hAnsi="Bookman Old Style" w:cs="Times New Roman"/>
              <w:b/>
              <w:bCs/>
              <w:sz w:val="24"/>
              <w:szCs w:val="24"/>
              <w:lang w:val="en-US"/>
            </w:rPr>
          </w:pPr>
          <w:r w:rsidRPr="008A524E">
            <w:rPr>
              <w:rFonts w:ascii="Bookman Old Style" w:eastAsiaTheme="minorEastAsia" w:hAnsi="Bookman Old Style" w:cs="Times New Roman"/>
              <w:b/>
              <w:bCs/>
              <w:sz w:val="24"/>
              <w:szCs w:val="24"/>
              <w:lang w:val="en-US"/>
            </w:rPr>
            <w:t>Table 1.1 Misalignment between th</w:t>
          </w:r>
          <w:r w:rsidR="00755437">
            <w:rPr>
              <w:rFonts w:ascii="Bookman Old Style" w:eastAsiaTheme="minorEastAsia" w:hAnsi="Bookman Old Style" w:cs="Times New Roman"/>
              <w:b/>
              <w:bCs/>
              <w:sz w:val="24"/>
              <w:szCs w:val="24"/>
              <w:lang w:val="en-US"/>
            </w:rPr>
            <w:t>e Zero Oil plan and Agriculture</w:t>
          </w:r>
        </w:p>
        <w:p w14:paraId="0CF41523" w14:textId="41FEFCB3" w:rsidR="008A524E" w:rsidRPr="008A524E" w:rsidRDefault="008A524E" w:rsidP="00755437">
          <w:pPr>
            <w:spacing w:after="100" w:line="360" w:lineRule="auto"/>
            <w:ind w:firstLine="720"/>
            <w:jc w:val="both"/>
            <w:rPr>
              <w:rFonts w:ascii="Bookman Old Style" w:eastAsiaTheme="minorEastAsia" w:hAnsi="Bookman Old Style" w:cs="Times New Roman"/>
              <w:b/>
              <w:sz w:val="24"/>
              <w:szCs w:val="24"/>
              <w:lang w:val="en-US"/>
            </w:rPr>
          </w:pPr>
          <w:r w:rsidRPr="008A524E">
            <w:rPr>
              <w:rFonts w:ascii="Bookman Old Style" w:eastAsiaTheme="minorEastAsia" w:hAnsi="Bookman Old Style" w:cs="Times New Roman"/>
              <w:b/>
              <w:bCs/>
              <w:sz w:val="24"/>
              <w:szCs w:val="24"/>
              <w:lang w:val="en-US"/>
            </w:rPr>
            <w:t>Promotion Policy</w:t>
          </w:r>
          <w:r w:rsidRPr="008A524E">
            <w:rPr>
              <w:rFonts w:ascii="Bookman Old Style" w:eastAsiaTheme="minorEastAsia" w:hAnsi="Bookman Old Style" w:cs="Times New Roman"/>
              <w:b/>
              <w:sz w:val="24"/>
              <w:szCs w:val="24"/>
              <w:lang w:val="en-US"/>
            </w:rPr>
            <w:ptab w:relativeTo="margin" w:alignment="right" w:leader="dot"/>
          </w:r>
          <w:r w:rsidRPr="008A524E">
            <w:rPr>
              <w:rFonts w:ascii="Bookman Old Style" w:eastAsiaTheme="minorEastAsia" w:hAnsi="Bookman Old Style" w:cs="Times New Roman"/>
              <w:b/>
              <w:sz w:val="24"/>
              <w:szCs w:val="24"/>
              <w:lang w:val="en-US"/>
            </w:rPr>
            <w:t>8</w:t>
          </w:r>
        </w:p>
        <w:p w14:paraId="0ADB9D62" w14:textId="77777777" w:rsidR="008A524E" w:rsidRPr="008A524E" w:rsidRDefault="008A524E" w:rsidP="00755437">
          <w:pPr>
            <w:spacing w:after="100" w:line="360" w:lineRule="auto"/>
            <w:jc w:val="both"/>
            <w:rPr>
              <w:rFonts w:ascii="Bookman Old Style" w:eastAsiaTheme="minorEastAsia" w:hAnsi="Bookman Old Style" w:cs="Times New Roman"/>
              <w:b/>
              <w:sz w:val="24"/>
              <w:szCs w:val="24"/>
              <w:lang w:val="en-US"/>
            </w:rPr>
          </w:pPr>
          <w:r w:rsidRPr="008A524E">
            <w:rPr>
              <w:rFonts w:ascii="Bookman Old Style" w:eastAsiaTheme="minorEastAsia" w:hAnsi="Bookman Old Style" w:cs="Times New Roman"/>
              <w:b/>
              <w:sz w:val="24"/>
              <w:szCs w:val="24"/>
              <w:lang w:val="en-US"/>
            </w:rPr>
            <w:t>Table 3.1 Top ten non-oil export earners from 2011-2015</w:t>
          </w:r>
          <w:r w:rsidRPr="008A524E">
            <w:rPr>
              <w:rFonts w:ascii="Bookman Old Style" w:eastAsiaTheme="minorEastAsia" w:hAnsi="Bookman Old Style" w:cs="Times New Roman"/>
              <w:b/>
              <w:sz w:val="24"/>
              <w:szCs w:val="24"/>
              <w:lang w:val="en-US"/>
            </w:rPr>
            <w:ptab w:relativeTo="margin" w:alignment="right" w:leader="dot"/>
          </w:r>
          <w:r w:rsidRPr="008A524E">
            <w:rPr>
              <w:rFonts w:ascii="Bookman Old Style" w:eastAsiaTheme="minorEastAsia" w:hAnsi="Bookman Old Style" w:cs="Times New Roman"/>
              <w:b/>
              <w:sz w:val="24"/>
              <w:szCs w:val="24"/>
              <w:lang w:val="en-US"/>
            </w:rPr>
            <w:t>13</w:t>
          </w:r>
        </w:p>
        <w:p w14:paraId="26317EE3" w14:textId="77777777" w:rsidR="008A524E" w:rsidRPr="008A524E" w:rsidRDefault="008A524E" w:rsidP="00755437">
          <w:pPr>
            <w:spacing w:after="100" w:line="360" w:lineRule="auto"/>
            <w:jc w:val="both"/>
            <w:rPr>
              <w:rFonts w:ascii="Bookman Old Style" w:eastAsiaTheme="minorEastAsia" w:hAnsi="Bookman Old Style" w:cs="Times New Roman"/>
              <w:b/>
              <w:sz w:val="24"/>
              <w:szCs w:val="24"/>
              <w:lang w:val="en-US"/>
            </w:rPr>
          </w:pPr>
          <w:r w:rsidRPr="008A524E">
            <w:rPr>
              <w:rFonts w:ascii="Bookman Old Style" w:eastAsiaTheme="minorEastAsia" w:hAnsi="Bookman Old Style" w:cs="Times New Roman"/>
              <w:b/>
              <w:sz w:val="24"/>
              <w:szCs w:val="24"/>
              <w:lang w:val="en-US"/>
            </w:rPr>
            <w:t>Table 3.2: Nigeria Export Destination</w:t>
          </w:r>
          <w:r w:rsidRPr="008A524E">
            <w:rPr>
              <w:rFonts w:ascii="Bookman Old Style" w:eastAsiaTheme="minorEastAsia" w:hAnsi="Bookman Old Style" w:cs="Times New Roman"/>
              <w:b/>
              <w:sz w:val="24"/>
              <w:szCs w:val="24"/>
              <w:lang w:val="en-US"/>
            </w:rPr>
            <w:ptab w:relativeTo="margin" w:alignment="right" w:leader="dot"/>
          </w:r>
          <w:r w:rsidRPr="008A524E">
            <w:rPr>
              <w:rFonts w:ascii="Bookman Old Style" w:eastAsiaTheme="minorEastAsia" w:hAnsi="Bookman Old Style" w:cs="Times New Roman"/>
              <w:b/>
              <w:sz w:val="24"/>
              <w:szCs w:val="24"/>
              <w:lang w:val="en-US"/>
            </w:rPr>
            <w:t>15</w:t>
          </w:r>
        </w:p>
        <w:p w14:paraId="53DD8C7A" w14:textId="77777777" w:rsidR="008A524E" w:rsidRPr="008A524E" w:rsidRDefault="008A524E" w:rsidP="00755437">
          <w:pPr>
            <w:spacing w:after="100" w:line="360" w:lineRule="auto"/>
            <w:jc w:val="both"/>
            <w:rPr>
              <w:rFonts w:ascii="Bookman Old Style" w:eastAsiaTheme="minorEastAsia" w:hAnsi="Bookman Old Style" w:cs="Times New Roman"/>
              <w:b/>
              <w:sz w:val="24"/>
              <w:szCs w:val="24"/>
              <w:lang w:val="en-US"/>
            </w:rPr>
          </w:pPr>
          <w:r w:rsidRPr="008A524E">
            <w:rPr>
              <w:rFonts w:ascii="Bookman Old Style" w:eastAsiaTheme="minorEastAsia" w:hAnsi="Bookman Old Style" w:cs="Times New Roman"/>
              <w:b/>
              <w:bCs/>
              <w:sz w:val="24"/>
              <w:szCs w:val="24"/>
              <w:lang w:val="en-US"/>
            </w:rPr>
            <w:t>Table 3.3: Selected Nigeria Exports</w:t>
          </w:r>
          <w:r w:rsidRPr="008A524E">
            <w:rPr>
              <w:rFonts w:ascii="Bookman Old Style" w:eastAsiaTheme="minorEastAsia" w:hAnsi="Bookman Old Style" w:cs="Times New Roman"/>
              <w:b/>
              <w:sz w:val="24"/>
              <w:szCs w:val="24"/>
              <w:lang w:val="en-US"/>
            </w:rPr>
            <w:ptab w:relativeTo="margin" w:alignment="right" w:leader="dot"/>
          </w:r>
          <w:r w:rsidRPr="008A524E">
            <w:rPr>
              <w:rFonts w:ascii="Bookman Old Style" w:eastAsiaTheme="minorEastAsia" w:hAnsi="Bookman Old Style" w:cs="Times New Roman"/>
              <w:b/>
              <w:sz w:val="24"/>
              <w:szCs w:val="24"/>
              <w:lang w:val="en-US"/>
            </w:rPr>
            <w:t>16</w:t>
          </w:r>
        </w:p>
        <w:p w14:paraId="4B35FB60" w14:textId="77777777" w:rsidR="00755437" w:rsidRDefault="008A524E" w:rsidP="00755437">
          <w:pPr>
            <w:spacing w:after="100" w:line="360" w:lineRule="auto"/>
            <w:jc w:val="both"/>
            <w:rPr>
              <w:rFonts w:ascii="Bookman Old Style" w:eastAsiaTheme="minorEastAsia" w:hAnsi="Bookman Old Style" w:cs="Times New Roman"/>
              <w:b/>
              <w:sz w:val="24"/>
              <w:szCs w:val="24"/>
              <w:lang w:val="en-US"/>
            </w:rPr>
          </w:pPr>
          <w:r w:rsidRPr="008A524E">
            <w:rPr>
              <w:rFonts w:ascii="Bookman Old Style" w:eastAsiaTheme="minorEastAsia" w:hAnsi="Bookman Old Style" w:cs="Times New Roman"/>
              <w:b/>
              <w:sz w:val="24"/>
              <w:szCs w:val="24"/>
              <w:lang w:val="en-US"/>
            </w:rPr>
            <w:t xml:space="preserve">Table 4.1 Comparison of Financial cost between Nigeria and </w:t>
          </w:r>
        </w:p>
        <w:p w14:paraId="7562FF21" w14:textId="722687D5" w:rsidR="008A524E" w:rsidRPr="008A524E" w:rsidRDefault="008A524E" w:rsidP="00755437">
          <w:pPr>
            <w:spacing w:after="100" w:line="360" w:lineRule="auto"/>
            <w:ind w:firstLine="720"/>
            <w:jc w:val="both"/>
            <w:rPr>
              <w:rFonts w:ascii="Bookman Old Style" w:eastAsiaTheme="minorEastAsia" w:hAnsi="Bookman Old Style" w:cs="Times New Roman"/>
              <w:b/>
              <w:sz w:val="24"/>
              <w:szCs w:val="24"/>
              <w:lang w:val="en-US"/>
            </w:rPr>
          </w:pPr>
          <w:r w:rsidRPr="008A524E">
            <w:rPr>
              <w:rFonts w:ascii="Bookman Old Style" w:eastAsiaTheme="minorEastAsia" w:hAnsi="Bookman Old Style" w:cs="Times New Roman"/>
              <w:b/>
              <w:sz w:val="24"/>
              <w:szCs w:val="24"/>
              <w:lang w:val="en-US"/>
            </w:rPr>
            <w:t>some of her export Competitors</w:t>
          </w:r>
          <w:r w:rsidRPr="008A524E">
            <w:rPr>
              <w:rFonts w:ascii="Bookman Old Style" w:eastAsiaTheme="minorEastAsia" w:hAnsi="Bookman Old Style" w:cs="Times New Roman"/>
              <w:b/>
              <w:sz w:val="24"/>
              <w:szCs w:val="24"/>
              <w:lang w:val="en-US"/>
            </w:rPr>
            <w:ptab w:relativeTo="margin" w:alignment="right" w:leader="dot"/>
          </w:r>
          <w:r w:rsidRPr="008A524E">
            <w:rPr>
              <w:rFonts w:ascii="Bookman Old Style" w:eastAsiaTheme="minorEastAsia" w:hAnsi="Bookman Old Style" w:cs="Times New Roman"/>
              <w:b/>
              <w:sz w:val="24"/>
              <w:szCs w:val="24"/>
              <w:lang w:val="en-US"/>
            </w:rPr>
            <w:t>20</w:t>
          </w:r>
        </w:p>
        <w:p w14:paraId="2959C41D" w14:textId="77777777" w:rsidR="00755437" w:rsidRDefault="008A524E" w:rsidP="00755437">
          <w:pPr>
            <w:spacing w:after="100" w:line="360" w:lineRule="auto"/>
            <w:jc w:val="both"/>
            <w:rPr>
              <w:rFonts w:ascii="Bookman Old Style" w:eastAsiaTheme="minorEastAsia" w:hAnsi="Bookman Old Style" w:cs="Times New Roman"/>
              <w:b/>
              <w:sz w:val="24"/>
              <w:szCs w:val="24"/>
              <w:lang w:val="en-US"/>
            </w:rPr>
          </w:pPr>
          <w:r w:rsidRPr="008A524E">
            <w:rPr>
              <w:rFonts w:ascii="Bookman Old Style" w:eastAsiaTheme="minorEastAsia" w:hAnsi="Bookman Old Style" w:cs="Times New Roman"/>
              <w:b/>
              <w:sz w:val="24"/>
              <w:szCs w:val="24"/>
              <w:lang w:val="en-US"/>
            </w:rPr>
            <w:t xml:space="preserve">Table 4.2 World Bank Group: 2015 Doing Business ranking data </w:t>
          </w:r>
        </w:p>
        <w:p w14:paraId="71E29AE2" w14:textId="635AB189" w:rsidR="008A524E" w:rsidRPr="008A524E" w:rsidRDefault="008A524E" w:rsidP="00755437">
          <w:pPr>
            <w:spacing w:after="100" w:line="360" w:lineRule="auto"/>
            <w:ind w:firstLine="720"/>
            <w:jc w:val="both"/>
            <w:rPr>
              <w:rFonts w:ascii="Bookman Old Style" w:eastAsiaTheme="minorEastAsia" w:hAnsi="Bookman Old Style" w:cs="Times New Roman"/>
              <w:b/>
              <w:sz w:val="24"/>
              <w:szCs w:val="24"/>
              <w:lang w:val="en-US"/>
            </w:rPr>
          </w:pPr>
          <w:r w:rsidRPr="008A524E">
            <w:rPr>
              <w:rFonts w:ascii="Bookman Old Style" w:eastAsiaTheme="minorEastAsia" w:hAnsi="Bookman Old Style" w:cs="Times New Roman"/>
              <w:b/>
              <w:sz w:val="24"/>
              <w:szCs w:val="24"/>
              <w:lang w:val="en-US"/>
            </w:rPr>
            <w:t>for Nigeria and Selected countries</w:t>
          </w:r>
          <w:r w:rsidRPr="008A524E">
            <w:rPr>
              <w:rFonts w:ascii="Bookman Old Style" w:eastAsiaTheme="minorEastAsia" w:hAnsi="Bookman Old Style" w:cs="Times New Roman"/>
              <w:b/>
              <w:sz w:val="24"/>
              <w:szCs w:val="24"/>
              <w:lang w:val="en-US"/>
            </w:rPr>
            <w:ptab w:relativeTo="margin" w:alignment="right" w:leader="dot"/>
          </w:r>
          <w:r w:rsidRPr="008A524E">
            <w:rPr>
              <w:rFonts w:ascii="Bookman Old Style" w:eastAsiaTheme="minorEastAsia" w:hAnsi="Bookman Old Style" w:cs="Times New Roman"/>
              <w:b/>
              <w:sz w:val="24"/>
              <w:szCs w:val="24"/>
              <w:lang w:val="en-US"/>
            </w:rPr>
            <w:t>22</w:t>
          </w:r>
        </w:p>
        <w:p w14:paraId="1D5CC0B9" w14:textId="77777777" w:rsidR="008A524E" w:rsidRPr="008A524E" w:rsidRDefault="008A524E" w:rsidP="00755437">
          <w:pPr>
            <w:spacing w:after="100" w:line="360" w:lineRule="auto"/>
            <w:jc w:val="both"/>
            <w:rPr>
              <w:rFonts w:ascii="Bookman Old Style" w:eastAsiaTheme="minorEastAsia" w:hAnsi="Bookman Old Style" w:cs="Times New Roman"/>
              <w:b/>
              <w:sz w:val="24"/>
              <w:szCs w:val="24"/>
              <w:lang w:val="en-US"/>
            </w:rPr>
          </w:pPr>
          <w:r w:rsidRPr="008A524E">
            <w:rPr>
              <w:rFonts w:ascii="Bookman Old Style" w:eastAsiaTheme="minorEastAsia" w:hAnsi="Bookman Old Style" w:cs="Times New Roman"/>
              <w:b/>
              <w:bCs/>
              <w:sz w:val="24"/>
              <w:szCs w:val="24"/>
              <w:lang w:val="en-US"/>
            </w:rPr>
            <w:t xml:space="preserve">Table 5.1: Trade Performance of Nigeria </w:t>
          </w:r>
          <w:r w:rsidRPr="008A524E">
            <w:rPr>
              <w:rFonts w:ascii="Bookman Old Style" w:eastAsiaTheme="minorEastAsia" w:hAnsi="Bookman Old Style" w:cs="Times New Roman"/>
              <w:b/>
              <w:sz w:val="24"/>
              <w:szCs w:val="24"/>
              <w:lang w:val="en-US"/>
            </w:rPr>
            <w:ptab w:relativeTo="margin" w:alignment="right" w:leader="dot"/>
          </w:r>
          <w:r w:rsidRPr="008A524E">
            <w:rPr>
              <w:rFonts w:ascii="Bookman Old Style" w:eastAsiaTheme="minorEastAsia" w:hAnsi="Bookman Old Style" w:cs="Times New Roman"/>
              <w:b/>
              <w:sz w:val="24"/>
              <w:szCs w:val="24"/>
              <w:lang w:val="en-US"/>
            </w:rPr>
            <w:t>42</w:t>
          </w:r>
        </w:p>
        <w:p w14:paraId="0A5A2CFC" w14:textId="77777777" w:rsidR="008A524E" w:rsidRPr="008A524E" w:rsidRDefault="008A524E" w:rsidP="00755437">
          <w:pPr>
            <w:spacing w:after="100" w:line="360" w:lineRule="auto"/>
            <w:jc w:val="both"/>
            <w:rPr>
              <w:rFonts w:ascii="Bookman Old Style" w:eastAsiaTheme="minorEastAsia" w:hAnsi="Bookman Old Style" w:cs="Times New Roman"/>
              <w:b/>
              <w:sz w:val="24"/>
              <w:szCs w:val="24"/>
              <w:lang w:val="en-US"/>
            </w:rPr>
          </w:pPr>
          <w:r w:rsidRPr="008A524E">
            <w:rPr>
              <w:rFonts w:ascii="Bookman Old Style" w:eastAsiaTheme="minorEastAsia" w:hAnsi="Bookman Old Style" w:cs="Times New Roman"/>
              <w:b/>
              <w:sz w:val="24"/>
              <w:szCs w:val="24"/>
              <w:lang w:val="en-US"/>
            </w:rPr>
            <w:t xml:space="preserve">Table 5.2: Structure of Nigeria’s Trade </w:t>
          </w:r>
          <w:r w:rsidRPr="008A524E">
            <w:rPr>
              <w:rFonts w:ascii="Bookman Old Style" w:eastAsiaTheme="minorEastAsia" w:hAnsi="Bookman Old Style" w:cs="Times New Roman"/>
              <w:b/>
              <w:sz w:val="24"/>
              <w:szCs w:val="24"/>
              <w:lang w:val="en-US"/>
            </w:rPr>
            <w:ptab w:relativeTo="margin" w:alignment="right" w:leader="dot"/>
          </w:r>
          <w:r w:rsidRPr="008A524E">
            <w:rPr>
              <w:rFonts w:ascii="Bookman Old Style" w:eastAsiaTheme="minorEastAsia" w:hAnsi="Bookman Old Style" w:cs="Times New Roman"/>
              <w:b/>
              <w:sz w:val="24"/>
              <w:szCs w:val="24"/>
              <w:lang w:val="en-US"/>
            </w:rPr>
            <w:t>44</w:t>
          </w:r>
        </w:p>
        <w:p w14:paraId="27376218" w14:textId="77777777" w:rsidR="00755437" w:rsidRDefault="008A524E" w:rsidP="00755437">
          <w:pPr>
            <w:spacing w:after="100" w:line="360" w:lineRule="auto"/>
            <w:jc w:val="both"/>
            <w:rPr>
              <w:rFonts w:ascii="Bookman Old Style" w:eastAsiaTheme="minorEastAsia" w:hAnsi="Bookman Old Style" w:cs="Times New Roman"/>
              <w:b/>
              <w:sz w:val="24"/>
              <w:szCs w:val="24"/>
              <w:lang w:val="en-US"/>
            </w:rPr>
          </w:pPr>
          <w:r w:rsidRPr="008A524E">
            <w:rPr>
              <w:rFonts w:ascii="Bookman Old Style" w:eastAsiaTheme="minorEastAsia" w:hAnsi="Bookman Old Style" w:cs="Times New Roman"/>
              <w:b/>
              <w:sz w:val="24"/>
              <w:szCs w:val="24"/>
              <w:lang w:val="en-US"/>
            </w:rPr>
            <w:t xml:space="preserve">Table 5.3: Nigeria’s Export to Ten Destinations </w:t>
          </w:r>
        </w:p>
        <w:p w14:paraId="407C86BB" w14:textId="7B091A00" w:rsidR="008A524E" w:rsidRPr="008A524E" w:rsidRDefault="008A524E" w:rsidP="00755437">
          <w:pPr>
            <w:spacing w:after="100" w:line="360" w:lineRule="auto"/>
            <w:ind w:firstLine="720"/>
            <w:jc w:val="both"/>
            <w:rPr>
              <w:rFonts w:eastAsiaTheme="minorEastAsia" w:cs="Times New Roman"/>
              <w:lang w:val="en-US"/>
            </w:rPr>
          </w:pPr>
          <w:r w:rsidRPr="008A524E">
            <w:rPr>
              <w:rFonts w:ascii="Bookman Old Style" w:eastAsiaTheme="minorEastAsia" w:hAnsi="Bookman Old Style" w:cs="Times New Roman"/>
              <w:b/>
              <w:sz w:val="24"/>
              <w:szCs w:val="24"/>
              <w:lang w:val="en-US"/>
            </w:rPr>
            <w:t>in the world (US$ million)</w:t>
          </w:r>
          <w:r w:rsidRPr="008A524E">
            <w:rPr>
              <w:rFonts w:ascii="Bookman Old Style" w:eastAsiaTheme="minorEastAsia" w:hAnsi="Bookman Old Style" w:cs="Times New Roman"/>
              <w:b/>
              <w:sz w:val="24"/>
              <w:szCs w:val="24"/>
              <w:lang w:val="en-US"/>
            </w:rPr>
            <w:ptab w:relativeTo="margin" w:alignment="right" w:leader="dot"/>
          </w:r>
          <w:r w:rsidRPr="008A524E">
            <w:rPr>
              <w:rFonts w:ascii="Bookman Old Style" w:eastAsiaTheme="minorEastAsia" w:hAnsi="Bookman Old Style" w:cs="Times New Roman"/>
              <w:b/>
              <w:sz w:val="24"/>
              <w:szCs w:val="24"/>
              <w:lang w:val="en-US"/>
            </w:rPr>
            <w:t>45</w:t>
          </w:r>
        </w:p>
      </w:sdtContent>
    </w:sdt>
    <w:p w14:paraId="332E9DD4" w14:textId="3002C788" w:rsidR="008B2FDA" w:rsidRDefault="008B2FDA" w:rsidP="008535DE">
      <w:pPr>
        <w:rPr>
          <w:rFonts w:ascii="Bookman Old Style" w:hAnsi="Bookman Old Style"/>
          <w:b/>
          <w:sz w:val="24"/>
          <w:szCs w:val="24"/>
        </w:rPr>
      </w:pPr>
    </w:p>
    <w:p w14:paraId="1DE2DDEC" w14:textId="1B9525D0" w:rsidR="008B2FDA" w:rsidRDefault="008B2FDA" w:rsidP="008535DE">
      <w:pPr>
        <w:rPr>
          <w:rFonts w:ascii="Bookman Old Style" w:hAnsi="Bookman Old Style"/>
          <w:b/>
          <w:sz w:val="24"/>
          <w:szCs w:val="24"/>
        </w:rPr>
      </w:pPr>
    </w:p>
    <w:p w14:paraId="43D854D5" w14:textId="36CFCECC" w:rsidR="008B2FDA" w:rsidRDefault="008B2FDA" w:rsidP="008535DE">
      <w:pPr>
        <w:rPr>
          <w:rFonts w:ascii="Bookman Old Style" w:hAnsi="Bookman Old Style"/>
          <w:b/>
          <w:sz w:val="24"/>
          <w:szCs w:val="24"/>
        </w:rPr>
      </w:pPr>
    </w:p>
    <w:p w14:paraId="5D3D464B" w14:textId="4CCAA5C7" w:rsidR="008B2FDA" w:rsidRDefault="008B2FDA" w:rsidP="008535DE">
      <w:pPr>
        <w:rPr>
          <w:rFonts w:ascii="Bookman Old Style" w:hAnsi="Bookman Old Style"/>
          <w:b/>
          <w:sz w:val="24"/>
          <w:szCs w:val="24"/>
        </w:rPr>
      </w:pPr>
    </w:p>
    <w:p w14:paraId="1546A72D" w14:textId="407EE7B7" w:rsidR="008B2FDA" w:rsidRDefault="008B2FDA" w:rsidP="008535DE">
      <w:pPr>
        <w:rPr>
          <w:rFonts w:ascii="Bookman Old Style" w:hAnsi="Bookman Old Style"/>
          <w:b/>
          <w:sz w:val="24"/>
          <w:szCs w:val="24"/>
        </w:rPr>
      </w:pPr>
    </w:p>
    <w:p w14:paraId="5F8C2195" w14:textId="6319976A" w:rsidR="008B2FDA" w:rsidRDefault="008B2FDA" w:rsidP="008535DE">
      <w:pPr>
        <w:rPr>
          <w:rFonts w:ascii="Bookman Old Style" w:hAnsi="Bookman Old Style"/>
          <w:b/>
          <w:sz w:val="24"/>
          <w:szCs w:val="24"/>
        </w:rPr>
      </w:pPr>
    </w:p>
    <w:p w14:paraId="67D2B4DE" w14:textId="3D5BABDE" w:rsidR="008B2FDA" w:rsidRDefault="008B2FDA" w:rsidP="008535DE">
      <w:pPr>
        <w:rPr>
          <w:rFonts w:ascii="Bookman Old Style" w:hAnsi="Bookman Old Style"/>
          <w:b/>
          <w:sz w:val="24"/>
          <w:szCs w:val="24"/>
        </w:rPr>
      </w:pPr>
    </w:p>
    <w:p w14:paraId="00DD3972" w14:textId="4E37D7FE" w:rsidR="008B2FDA" w:rsidRDefault="008B2FDA" w:rsidP="008535DE">
      <w:pPr>
        <w:rPr>
          <w:rFonts w:ascii="Bookman Old Style" w:hAnsi="Bookman Old Style"/>
          <w:b/>
          <w:sz w:val="24"/>
          <w:szCs w:val="24"/>
        </w:rPr>
      </w:pPr>
    </w:p>
    <w:p w14:paraId="4F6613B9" w14:textId="3CEA8A68" w:rsidR="008B2FDA" w:rsidRDefault="008B2FDA" w:rsidP="008535DE">
      <w:pPr>
        <w:rPr>
          <w:rFonts w:ascii="Bookman Old Style" w:hAnsi="Bookman Old Style"/>
          <w:b/>
          <w:sz w:val="24"/>
          <w:szCs w:val="24"/>
        </w:rPr>
      </w:pPr>
    </w:p>
    <w:p w14:paraId="0CCC7B98" w14:textId="2C62E03B" w:rsidR="008B2FDA" w:rsidRDefault="008B2FDA" w:rsidP="008535DE">
      <w:pPr>
        <w:rPr>
          <w:rFonts w:ascii="Bookman Old Style" w:hAnsi="Bookman Old Style"/>
          <w:b/>
          <w:sz w:val="24"/>
          <w:szCs w:val="24"/>
        </w:rPr>
      </w:pPr>
    </w:p>
    <w:p w14:paraId="6840F10D" w14:textId="152E8028" w:rsidR="008B2FDA" w:rsidRDefault="008B2FDA" w:rsidP="008535DE">
      <w:pPr>
        <w:rPr>
          <w:rFonts w:ascii="Bookman Old Style" w:hAnsi="Bookman Old Style"/>
          <w:b/>
          <w:sz w:val="24"/>
          <w:szCs w:val="24"/>
        </w:rPr>
      </w:pPr>
    </w:p>
    <w:p w14:paraId="33F73F1F" w14:textId="6531CF76" w:rsidR="008B2FDA" w:rsidRDefault="008B2FDA" w:rsidP="008535DE">
      <w:pPr>
        <w:rPr>
          <w:rFonts w:ascii="Bookman Old Style" w:hAnsi="Bookman Old Style"/>
          <w:b/>
          <w:sz w:val="24"/>
          <w:szCs w:val="24"/>
        </w:rPr>
      </w:pPr>
    </w:p>
    <w:p w14:paraId="382CB07D" w14:textId="77777777" w:rsidR="00755437" w:rsidRDefault="00755437" w:rsidP="008535DE">
      <w:pPr>
        <w:rPr>
          <w:rFonts w:ascii="Bookman Old Style" w:hAnsi="Bookman Old Style"/>
          <w:b/>
          <w:sz w:val="24"/>
          <w:szCs w:val="24"/>
        </w:rPr>
      </w:pPr>
    </w:p>
    <w:sdt>
      <w:sdtPr>
        <w:rPr>
          <w:rFonts w:asciiTheme="majorHAnsi" w:eastAsiaTheme="majorEastAsia" w:hAnsiTheme="majorHAnsi" w:cstheme="majorBidi"/>
          <w:color w:val="2F5496" w:themeColor="accent1" w:themeShade="BF"/>
          <w:sz w:val="32"/>
          <w:szCs w:val="32"/>
          <w:lang w:val="en-US"/>
        </w:rPr>
        <w:id w:val="745620041"/>
        <w:docPartObj>
          <w:docPartGallery w:val="Table of Contents"/>
          <w:docPartUnique/>
        </w:docPartObj>
      </w:sdtPr>
      <w:sdtEndPr>
        <w:rPr>
          <w:rFonts w:asciiTheme="minorHAnsi" w:eastAsiaTheme="minorEastAsia" w:hAnsiTheme="minorHAnsi" w:cs="Times New Roman"/>
          <w:color w:val="auto"/>
          <w:sz w:val="22"/>
          <w:szCs w:val="22"/>
        </w:rPr>
      </w:sdtEndPr>
      <w:sdtContent>
        <w:p w14:paraId="3CD6C2C7" w14:textId="13401F39" w:rsidR="0000232E" w:rsidRPr="0000232E" w:rsidRDefault="0000232E" w:rsidP="0000232E">
          <w:pPr>
            <w:keepNext/>
            <w:keepLines/>
            <w:spacing w:before="240" w:after="0"/>
            <w:rPr>
              <w:rFonts w:ascii="Bookman Old Style" w:eastAsiaTheme="majorEastAsia" w:hAnsi="Bookman Old Style" w:cstheme="majorBidi"/>
              <w:b/>
              <w:sz w:val="32"/>
              <w:szCs w:val="32"/>
              <w:lang w:val="en-US"/>
            </w:rPr>
          </w:pPr>
          <w:r w:rsidRPr="0000232E">
            <w:rPr>
              <w:rFonts w:ascii="Bookman Old Style" w:eastAsiaTheme="majorEastAsia" w:hAnsi="Bookman Old Style" w:cstheme="majorBidi"/>
              <w:b/>
              <w:sz w:val="32"/>
              <w:szCs w:val="32"/>
              <w:lang w:val="en-US"/>
            </w:rPr>
            <w:t>Figures</w:t>
          </w:r>
        </w:p>
        <w:p w14:paraId="1DFA81A2" w14:textId="77777777" w:rsidR="0000232E" w:rsidRPr="0000232E" w:rsidRDefault="0000232E" w:rsidP="0000232E">
          <w:pPr>
            <w:keepNext/>
            <w:keepLines/>
            <w:spacing w:before="240" w:after="0"/>
            <w:rPr>
              <w:rFonts w:ascii="Bookman Old Style" w:eastAsiaTheme="majorEastAsia" w:hAnsi="Bookman Old Style" w:cstheme="majorBidi"/>
              <w:b/>
              <w:color w:val="2F5496" w:themeColor="accent1" w:themeShade="BF"/>
              <w:sz w:val="32"/>
              <w:szCs w:val="32"/>
              <w:lang w:val="en-US"/>
            </w:rPr>
          </w:pPr>
        </w:p>
        <w:p w14:paraId="636ED0A8" w14:textId="42F467AD" w:rsidR="0000232E" w:rsidRDefault="0000232E" w:rsidP="0000232E">
          <w:pPr>
            <w:spacing w:after="100" w:line="360" w:lineRule="auto"/>
            <w:rPr>
              <w:rFonts w:ascii="Bookman Old Style" w:eastAsiaTheme="minorEastAsia" w:hAnsi="Bookman Old Style" w:cs="Times New Roman"/>
              <w:b/>
              <w:sz w:val="24"/>
              <w:szCs w:val="24"/>
              <w:lang w:val="en-US"/>
            </w:rPr>
          </w:pPr>
          <w:r w:rsidRPr="0000232E">
            <w:rPr>
              <w:rFonts w:ascii="Bookman Old Style" w:eastAsiaTheme="minorEastAsia" w:hAnsi="Bookman Old Style" w:cs="Times New Roman"/>
              <w:b/>
              <w:sz w:val="24"/>
              <w:szCs w:val="24"/>
              <w:lang w:val="en-US"/>
            </w:rPr>
            <w:t xml:space="preserve">Figure 1: </w:t>
          </w:r>
          <w:r>
            <w:rPr>
              <w:rFonts w:ascii="Bookman Old Style" w:eastAsiaTheme="minorEastAsia" w:hAnsi="Bookman Old Style" w:cs="Times New Roman"/>
              <w:b/>
              <w:sz w:val="24"/>
              <w:szCs w:val="24"/>
              <w:lang w:val="en-US"/>
            </w:rPr>
            <w:tab/>
          </w:r>
          <w:r w:rsidRPr="0000232E">
            <w:rPr>
              <w:rFonts w:ascii="Bookman Old Style" w:eastAsiaTheme="minorEastAsia" w:hAnsi="Bookman Old Style" w:cs="Times New Roman"/>
              <w:b/>
              <w:sz w:val="24"/>
              <w:szCs w:val="24"/>
              <w:lang w:val="en-US"/>
            </w:rPr>
            <w:t xml:space="preserve">Comparison of Financial cost between Nigeria and </w:t>
          </w:r>
        </w:p>
        <w:p w14:paraId="15FB1666" w14:textId="4E4C6295" w:rsidR="0000232E" w:rsidRPr="0000232E" w:rsidRDefault="0000232E" w:rsidP="0000232E">
          <w:pPr>
            <w:spacing w:after="100" w:line="360" w:lineRule="auto"/>
            <w:ind w:left="720" w:firstLine="720"/>
            <w:rPr>
              <w:rFonts w:ascii="Bookman Old Style" w:eastAsiaTheme="minorEastAsia" w:hAnsi="Bookman Old Style" w:cs="Times New Roman"/>
              <w:b/>
              <w:sz w:val="24"/>
              <w:szCs w:val="24"/>
              <w:lang w:val="en-US"/>
            </w:rPr>
          </w:pPr>
          <w:r w:rsidRPr="0000232E">
            <w:rPr>
              <w:rFonts w:ascii="Bookman Old Style" w:eastAsiaTheme="minorEastAsia" w:hAnsi="Bookman Old Style" w:cs="Times New Roman"/>
              <w:b/>
              <w:sz w:val="24"/>
              <w:szCs w:val="24"/>
              <w:lang w:val="en-US"/>
            </w:rPr>
            <w:t xml:space="preserve">some of her export Competitors </w:t>
          </w:r>
          <w:r w:rsidRPr="0000232E">
            <w:rPr>
              <w:rFonts w:ascii="Bookman Old Style" w:eastAsiaTheme="minorEastAsia" w:hAnsi="Bookman Old Style" w:cs="Times New Roman"/>
              <w:b/>
              <w:sz w:val="24"/>
              <w:szCs w:val="24"/>
              <w:lang w:val="en-US"/>
            </w:rPr>
            <w:ptab w:relativeTo="margin" w:alignment="right" w:leader="dot"/>
          </w:r>
          <w:r w:rsidRPr="0000232E">
            <w:rPr>
              <w:rFonts w:ascii="Bookman Old Style" w:eastAsiaTheme="minorEastAsia" w:hAnsi="Bookman Old Style" w:cs="Times New Roman"/>
              <w:b/>
              <w:sz w:val="24"/>
              <w:szCs w:val="24"/>
              <w:lang w:val="en-US"/>
            </w:rPr>
            <w:t>21</w:t>
          </w:r>
        </w:p>
        <w:p w14:paraId="5C97132E" w14:textId="5D394162" w:rsidR="0000232E" w:rsidRPr="0000232E" w:rsidRDefault="0000232E" w:rsidP="0000232E">
          <w:pPr>
            <w:spacing w:after="100" w:line="360" w:lineRule="auto"/>
            <w:rPr>
              <w:rFonts w:ascii="Bookman Old Style" w:eastAsiaTheme="minorEastAsia" w:hAnsi="Bookman Old Style" w:cs="Times New Roman"/>
              <w:b/>
              <w:sz w:val="24"/>
              <w:szCs w:val="24"/>
              <w:lang w:val="en-US"/>
            </w:rPr>
          </w:pPr>
          <w:r>
            <w:rPr>
              <w:rFonts w:ascii="Bookman Old Style" w:eastAsiaTheme="minorEastAsia" w:hAnsi="Bookman Old Style" w:cs="Times New Roman"/>
              <w:b/>
              <w:sz w:val="24"/>
              <w:szCs w:val="24"/>
              <w:lang w:val="en-US"/>
            </w:rPr>
            <w:t>Figure 2:</w:t>
          </w:r>
          <w:r>
            <w:rPr>
              <w:rFonts w:ascii="Bookman Old Style" w:eastAsiaTheme="minorEastAsia" w:hAnsi="Bookman Old Style" w:cs="Times New Roman"/>
              <w:b/>
              <w:sz w:val="24"/>
              <w:szCs w:val="24"/>
              <w:lang w:val="en-US"/>
            </w:rPr>
            <w:tab/>
          </w:r>
          <w:r w:rsidRPr="0000232E">
            <w:rPr>
              <w:rFonts w:ascii="Bookman Old Style" w:eastAsiaTheme="minorEastAsia" w:hAnsi="Bookman Old Style" w:cs="Times New Roman"/>
              <w:b/>
              <w:sz w:val="24"/>
              <w:szCs w:val="24"/>
              <w:lang w:val="en-US"/>
            </w:rPr>
            <w:t xml:space="preserve">Benefits of EEG </w:t>
          </w:r>
          <w:r w:rsidRPr="0000232E">
            <w:rPr>
              <w:rFonts w:ascii="Bookman Old Style" w:eastAsiaTheme="minorEastAsia" w:hAnsi="Bookman Old Style" w:cs="Times New Roman"/>
              <w:b/>
              <w:sz w:val="24"/>
              <w:szCs w:val="24"/>
              <w:lang w:val="en-US"/>
            </w:rPr>
            <w:ptab w:relativeTo="margin" w:alignment="right" w:leader="dot"/>
          </w:r>
          <w:r w:rsidRPr="0000232E">
            <w:rPr>
              <w:rFonts w:ascii="Bookman Old Style" w:eastAsiaTheme="minorEastAsia" w:hAnsi="Bookman Old Style" w:cs="Times New Roman"/>
              <w:b/>
              <w:sz w:val="24"/>
              <w:szCs w:val="24"/>
              <w:lang w:val="en-US"/>
            </w:rPr>
            <w:t>28</w:t>
          </w:r>
        </w:p>
        <w:p w14:paraId="2AC7BA88" w14:textId="4EBA0E51" w:rsidR="0000232E" w:rsidRPr="0000232E" w:rsidRDefault="0000232E" w:rsidP="0000232E">
          <w:pPr>
            <w:spacing w:after="100" w:line="360" w:lineRule="auto"/>
            <w:rPr>
              <w:rFonts w:ascii="Bookman Old Style" w:eastAsiaTheme="minorEastAsia" w:hAnsi="Bookman Old Style" w:cs="Times New Roman"/>
              <w:b/>
              <w:sz w:val="24"/>
              <w:szCs w:val="24"/>
              <w:lang w:val="en-US"/>
            </w:rPr>
          </w:pPr>
          <w:r>
            <w:rPr>
              <w:rFonts w:ascii="Bookman Old Style" w:eastAsiaTheme="minorEastAsia" w:hAnsi="Bookman Old Style" w:cs="Times New Roman"/>
              <w:b/>
              <w:sz w:val="24"/>
              <w:szCs w:val="24"/>
              <w:lang w:val="en-US"/>
            </w:rPr>
            <w:t>Figure 3:</w:t>
          </w:r>
          <w:r>
            <w:rPr>
              <w:rFonts w:ascii="Bookman Old Style" w:eastAsiaTheme="minorEastAsia" w:hAnsi="Bookman Old Style" w:cs="Times New Roman"/>
              <w:b/>
              <w:sz w:val="24"/>
              <w:szCs w:val="24"/>
              <w:lang w:val="en-US"/>
            </w:rPr>
            <w:tab/>
          </w:r>
          <w:r w:rsidRPr="0000232E">
            <w:rPr>
              <w:rFonts w:ascii="Bookman Old Style" w:eastAsiaTheme="minorEastAsia" w:hAnsi="Bookman Old Style" w:cs="Times New Roman"/>
              <w:b/>
              <w:sz w:val="24"/>
              <w:szCs w:val="24"/>
              <w:lang w:val="en-US"/>
            </w:rPr>
            <w:t xml:space="preserve">Impact of EEG on Non-oil Exports </w:t>
          </w:r>
          <w:r w:rsidRPr="0000232E">
            <w:rPr>
              <w:rFonts w:ascii="Bookman Old Style" w:eastAsiaTheme="minorEastAsia" w:hAnsi="Bookman Old Style" w:cs="Times New Roman"/>
              <w:b/>
              <w:sz w:val="24"/>
              <w:szCs w:val="24"/>
              <w:lang w:val="en-US"/>
            </w:rPr>
            <w:ptab w:relativeTo="margin" w:alignment="right" w:leader="dot"/>
          </w:r>
          <w:r w:rsidRPr="0000232E">
            <w:rPr>
              <w:rFonts w:ascii="Bookman Old Style" w:eastAsiaTheme="minorEastAsia" w:hAnsi="Bookman Old Style" w:cs="Times New Roman"/>
              <w:b/>
              <w:sz w:val="24"/>
              <w:szCs w:val="24"/>
              <w:lang w:val="en-US"/>
            </w:rPr>
            <w:t>28</w:t>
          </w:r>
        </w:p>
        <w:p w14:paraId="4B4BBFAF" w14:textId="74CDCDA1" w:rsidR="0000232E" w:rsidRPr="0000232E" w:rsidRDefault="0000232E" w:rsidP="0000232E">
          <w:pPr>
            <w:spacing w:after="100" w:line="360" w:lineRule="auto"/>
            <w:rPr>
              <w:rFonts w:ascii="Bookman Old Style" w:eastAsiaTheme="minorEastAsia" w:hAnsi="Bookman Old Style" w:cs="Times New Roman"/>
              <w:b/>
              <w:sz w:val="24"/>
              <w:szCs w:val="24"/>
              <w:lang w:val="en-US"/>
            </w:rPr>
          </w:pPr>
          <w:r w:rsidRPr="0000232E">
            <w:rPr>
              <w:rFonts w:ascii="Bookman Old Style" w:eastAsiaTheme="minorEastAsia" w:hAnsi="Bookman Old Style" w:cs="Times New Roman"/>
              <w:b/>
              <w:bCs/>
              <w:sz w:val="24"/>
              <w:szCs w:val="24"/>
              <w:lang w:val="en-US"/>
            </w:rPr>
            <w:t xml:space="preserve">Figure 4: </w:t>
          </w:r>
          <w:r>
            <w:rPr>
              <w:rFonts w:ascii="Bookman Old Style" w:eastAsiaTheme="minorEastAsia" w:hAnsi="Bookman Old Style" w:cs="Times New Roman"/>
              <w:b/>
              <w:bCs/>
              <w:sz w:val="24"/>
              <w:szCs w:val="24"/>
              <w:lang w:val="en-US"/>
            </w:rPr>
            <w:tab/>
          </w:r>
          <w:r w:rsidRPr="0000232E">
            <w:rPr>
              <w:rFonts w:ascii="Bookman Old Style" w:eastAsiaTheme="minorEastAsia" w:hAnsi="Bookman Old Style" w:cs="Times New Roman"/>
              <w:b/>
              <w:bCs/>
              <w:sz w:val="24"/>
              <w:szCs w:val="24"/>
              <w:lang w:val="en-US"/>
            </w:rPr>
            <w:t xml:space="preserve">Nigeria non-oil remittances </w:t>
          </w:r>
          <w:r w:rsidRPr="0000232E">
            <w:rPr>
              <w:rFonts w:ascii="Bookman Old Style" w:eastAsiaTheme="minorEastAsia" w:hAnsi="Bookman Old Style" w:cs="Times New Roman"/>
              <w:b/>
              <w:sz w:val="24"/>
              <w:szCs w:val="24"/>
              <w:lang w:val="en-US"/>
            </w:rPr>
            <w:ptab w:relativeTo="margin" w:alignment="right" w:leader="dot"/>
          </w:r>
          <w:r w:rsidRPr="0000232E">
            <w:rPr>
              <w:rFonts w:ascii="Bookman Old Style" w:eastAsiaTheme="minorEastAsia" w:hAnsi="Bookman Old Style" w:cs="Times New Roman"/>
              <w:b/>
              <w:sz w:val="24"/>
              <w:szCs w:val="24"/>
              <w:lang w:val="en-US"/>
            </w:rPr>
            <w:t>29</w:t>
          </w:r>
        </w:p>
        <w:p w14:paraId="340572F8" w14:textId="6A85189D" w:rsidR="0000232E" w:rsidRPr="0000232E" w:rsidRDefault="0000232E" w:rsidP="0000232E">
          <w:pPr>
            <w:spacing w:after="100" w:line="360" w:lineRule="auto"/>
            <w:rPr>
              <w:rFonts w:ascii="Bookman Old Style" w:eastAsiaTheme="minorEastAsia" w:hAnsi="Bookman Old Style" w:cs="Times New Roman"/>
              <w:b/>
              <w:sz w:val="24"/>
              <w:szCs w:val="24"/>
              <w:lang w:val="en-US"/>
            </w:rPr>
          </w:pPr>
          <w:r w:rsidRPr="0000232E">
            <w:rPr>
              <w:rFonts w:ascii="Bookman Old Style" w:eastAsiaTheme="minorEastAsia" w:hAnsi="Bookman Old Style" w:cs="Times New Roman"/>
              <w:b/>
              <w:sz w:val="24"/>
              <w:szCs w:val="24"/>
              <w:lang w:val="en-US"/>
            </w:rPr>
            <w:t xml:space="preserve">Figure 6: </w:t>
          </w:r>
          <w:r>
            <w:rPr>
              <w:rFonts w:ascii="Bookman Old Style" w:eastAsiaTheme="minorEastAsia" w:hAnsi="Bookman Old Style" w:cs="Times New Roman"/>
              <w:b/>
              <w:sz w:val="24"/>
              <w:szCs w:val="24"/>
              <w:lang w:val="en-US"/>
            </w:rPr>
            <w:tab/>
          </w:r>
          <w:r w:rsidRPr="0000232E">
            <w:rPr>
              <w:rFonts w:ascii="Bookman Old Style" w:eastAsiaTheme="minorEastAsia" w:hAnsi="Bookman Old Style" w:cs="Times New Roman"/>
              <w:b/>
              <w:sz w:val="24"/>
              <w:szCs w:val="24"/>
              <w:lang w:val="en-US"/>
            </w:rPr>
            <w:t xml:space="preserve">Employment in non-oil sector </w:t>
          </w:r>
          <w:r w:rsidRPr="0000232E">
            <w:rPr>
              <w:rFonts w:ascii="Bookman Old Style" w:eastAsiaTheme="minorEastAsia" w:hAnsi="Bookman Old Style" w:cs="Times New Roman"/>
              <w:b/>
              <w:sz w:val="24"/>
              <w:szCs w:val="24"/>
              <w:lang w:val="en-US"/>
            </w:rPr>
            <w:ptab w:relativeTo="margin" w:alignment="right" w:leader="dot"/>
          </w:r>
          <w:r w:rsidRPr="0000232E">
            <w:rPr>
              <w:rFonts w:ascii="Bookman Old Style" w:eastAsiaTheme="minorEastAsia" w:hAnsi="Bookman Old Style" w:cs="Times New Roman"/>
              <w:b/>
              <w:sz w:val="24"/>
              <w:szCs w:val="24"/>
              <w:lang w:val="en-US"/>
            </w:rPr>
            <w:t>30</w:t>
          </w:r>
        </w:p>
        <w:p w14:paraId="50185821" w14:textId="4784A61F" w:rsidR="0000232E" w:rsidRPr="0000232E" w:rsidRDefault="0000232E" w:rsidP="0000232E">
          <w:pPr>
            <w:spacing w:after="100" w:line="360" w:lineRule="auto"/>
            <w:rPr>
              <w:rFonts w:ascii="Bookman Old Style" w:eastAsiaTheme="minorEastAsia" w:hAnsi="Bookman Old Style" w:cs="Times New Roman"/>
              <w:b/>
              <w:sz w:val="24"/>
              <w:szCs w:val="24"/>
              <w:lang w:val="en-US"/>
            </w:rPr>
          </w:pPr>
          <w:r w:rsidRPr="0000232E">
            <w:rPr>
              <w:rFonts w:ascii="Bookman Old Style" w:eastAsiaTheme="minorEastAsia" w:hAnsi="Bookman Old Style" w:cs="Times New Roman"/>
              <w:b/>
              <w:sz w:val="24"/>
              <w:szCs w:val="24"/>
              <w:lang w:val="en-US"/>
            </w:rPr>
            <w:t xml:space="preserve">Figure 7: </w:t>
          </w:r>
          <w:r>
            <w:rPr>
              <w:rFonts w:ascii="Bookman Old Style" w:eastAsiaTheme="minorEastAsia" w:hAnsi="Bookman Old Style" w:cs="Times New Roman"/>
              <w:b/>
              <w:sz w:val="24"/>
              <w:szCs w:val="24"/>
              <w:lang w:val="en-US"/>
            </w:rPr>
            <w:tab/>
          </w:r>
          <w:r w:rsidRPr="0000232E">
            <w:rPr>
              <w:rFonts w:ascii="Bookman Old Style" w:eastAsiaTheme="minorEastAsia" w:hAnsi="Bookman Old Style" w:cs="Times New Roman"/>
              <w:b/>
              <w:sz w:val="24"/>
              <w:szCs w:val="24"/>
              <w:lang w:val="en-US"/>
            </w:rPr>
            <w:t xml:space="preserve">Potential non-oil exports across Nigeria </w:t>
          </w:r>
          <w:r w:rsidRPr="0000232E">
            <w:rPr>
              <w:rFonts w:ascii="Bookman Old Style" w:eastAsiaTheme="minorEastAsia" w:hAnsi="Bookman Old Style" w:cs="Times New Roman"/>
              <w:b/>
              <w:sz w:val="24"/>
              <w:szCs w:val="24"/>
              <w:lang w:val="en-US"/>
            </w:rPr>
            <w:ptab w:relativeTo="margin" w:alignment="right" w:leader="dot"/>
          </w:r>
          <w:r w:rsidRPr="0000232E">
            <w:rPr>
              <w:rFonts w:ascii="Bookman Old Style" w:eastAsiaTheme="minorEastAsia" w:hAnsi="Bookman Old Style" w:cs="Times New Roman"/>
              <w:b/>
              <w:sz w:val="24"/>
              <w:szCs w:val="24"/>
              <w:lang w:val="en-US"/>
            </w:rPr>
            <w:t>30</w:t>
          </w:r>
        </w:p>
        <w:p w14:paraId="50F9C121" w14:textId="388ECB38" w:rsidR="0000232E" w:rsidRPr="0000232E" w:rsidRDefault="0000232E" w:rsidP="0000232E">
          <w:pPr>
            <w:spacing w:after="100" w:line="360" w:lineRule="auto"/>
            <w:rPr>
              <w:rFonts w:ascii="Bookman Old Style" w:eastAsiaTheme="minorEastAsia" w:hAnsi="Bookman Old Style" w:cs="Times New Roman"/>
              <w:b/>
              <w:sz w:val="24"/>
              <w:szCs w:val="24"/>
              <w:lang w:val="en-US"/>
            </w:rPr>
          </w:pPr>
          <w:r w:rsidRPr="0000232E">
            <w:rPr>
              <w:rFonts w:ascii="Bookman Old Style" w:eastAsiaTheme="minorEastAsia" w:hAnsi="Bookman Old Style" w:cs="Times New Roman"/>
              <w:b/>
              <w:bCs/>
              <w:sz w:val="24"/>
              <w:szCs w:val="24"/>
              <w:lang w:val="en-US"/>
            </w:rPr>
            <w:t xml:space="preserve">Figure 8: </w:t>
          </w:r>
          <w:r>
            <w:rPr>
              <w:rFonts w:ascii="Bookman Old Style" w:eastAsiaTheme="minorEastAsia" w:hAnsi="Bookman Old Style" w:cs="Times New Roman"/>
              <w:b/>
              <w:bCs/>
              <w:sz w:val="24"/>
              <w:szCs w:val="24"/>
              <w:lang w:val="en-US"/>
            </w:rPr>
            <w:tab/>
          </w:r>
          <w:r w:rsidRPr="0000232E">
            <w:rPr>
              <w:rFonts w:ascii="Bookman Old Style" w:eastAsiaTheme="minorEastAsia" w:hAnsi="Bookman Old Style" w:cs="Times New Roman"/>
              <w:b/>
              <w:bCs/>
              <w:sz w:val="24"/>
              <w:szCs w:val="24"/>
              <w:lang w:val="en-US"/>
            </w:rPr>
            <w:t xml:space="preserve">Destination of Nigeria’s non-oil export </w:t>
          </w:r>
          <w:r w:rsidRPr="0000232E">
            <w:rPr>
              <w:rFonts w:ascii="Bookman Old Style" w:eastAsiaTheme="minorEastAsia" w:hAnsi="Bookman Old Style" w:cs="Times New Roman"/>
              <w:b/>
              <w:sz w:val="24"/>
              <w:szCs w:val="24"/>
              <w:lang w:val="en-US"/>
            </w:rPr>
            <w:ptab w:relativeTo="margin" w:alignment="right" w:leader="dot"/>
          </w:r>
          <w:r w:rsidRPr="0000232E">
            <w:rPr>
              <w:rFonts w:ascii="Bookman Old Style" w:eastAsiaTheme="minorEastAsia" w:hAnsi="Bookman Old Style" w:cs="Times New Roman"/>
              <w:b/>
              <w:sz w:val="24"/>
              <w:szCs w:val="24"/>
              <w:lang w:val="en-US"/>
            </w:rPr>
            <w:t>31</w:t>
          </w:r>
        </w:p>
        <w:p w14:paraId="1872F259" w14:textId="6600E3FE" w:rsidR="0000232E" w:rsidRPr="0000232E" w:rsidRDefault="0000232E" w:rsidP="0000232E">
          <w:pPr>
            <w:spacing w:after="100" w:line="360" w:lineRule="auto"/>
            <w:rPr>
              <w:rFonts w:ascii="Bookman Old Style" w:eastAsiaTheme="minorEastAsia" w:hAnsi="Bookman Old Style" w:cs="Times New Roman"/>
              <w:b/>
              <w:sz w:val="24"/>
              <w:szCs w:val="24"/>
              <w:lang w:val="en-US"/>
            </w:rPr>
          </w:pPr>
          <w:r w:rsidRPr="0000232E">
            <w:rPr>
              <w:rFonts w:ascii="Bookman Old Style" w:eastAsiaTheme="minorEastAsia" w:hAnsi="Bookman Old Style" w:cs="Times New Roman"/>
              <w:b/>
              <w:sz w:val="24"/>
              <w:szCs w:val="24"/>
              <w:lang w:val="en-US"/>
            </w:rPr>
            <w:t xml:space="preserve">Figure 9: </w:t>
          </w:r>
          <w:r>
            <w:rPr>
              <w:rFonts w:ascii="Bookman Old Style" w:eastAsiaTheme="minorEastAsia" w:hAnsi="Bookman Old Style" w:cs="Times New Roman"/>
              <w:b/>
              <w:sz w:val="24"/>
              <w:szCs w:val="24"/>
              <w:lang w:val="en-US"/>
            </w:rPr>
            <w:tab/>
          </w:r>
          <w:r w:rsidRPr="0000232E">
            <w:rPr>
              <w:rFonts w:ascii="Bookman Old Style" w:eastAsiaTheme="minorEastAsia" w:hAnsi="Bookman Old Style" w:cs="Times New Roman"/>
              <w:b/>
              <w:sz w:val="24"/>
              <w:szCs w:val="24"/>
              <w:lang w:val="en-US"/>
            </w:rPr>
            <w:t>Value of Nigeria non-oil exports (2006-2014)</w:t>
          </w:r>
          <w:r w:rsidRPr="0000232E">
            <w:rPr>
              <w:rFonts w:ascii="Bookman Old Style" w:eastAsiaTheme="minorEastAsia" w:hAnsi="Bookman Old Style" w:cs="Times New Roman"/>
              <w:b/>
              <w:sz w:val="24"/>
              <w:szCs w:val="24"/>
              <w:lang w:val="en-US"/>
            </w:rPr>
            <w:ptab w:relativeTo="margin" w:alignment="right" w:leader="dot"/>
          </w:r>
          <w:r w:rsidRPr="0000232E">
            <w:rPr>
              <w:rFonts w:ascii="Bookman Old Style" w:eastAsiaTheme="minorEastAsia" w:hAnsi="Bookman Old Style" w:cs="Times New Roman"/>
              <w:b/>
              <w:sz w:val="24"/>
              <w:szCs w:val="24"/>
              <w:lang w:val="en-US"/>
            </w:rPr>
            <w:t>31</w:t>
          </w:r>
        </w:p>
        <w:p w14:paraId="0CC7EE44" w14:textId="607F5BD2" w:rsidR="0000232E" w:rsidRPr="0000232E" w:rsidRDefault="0000232E" w:rsidP="0000232E">
          <w:pPr>
            <w:spacing w:after="100" w:line="360" w:lineRule="auto"/>
            <w:rPr>
              <w:rFonts w:ascii="Bookman Old Style" w:eastAsiaTheme="minorEastAsia" w:hAnsi="Bookman Old Style" w:cs="Times New Roman"/>
              <w:b/>
              <w:sz w:val="24"/>
              <w:szCs w:val="24"/>
              <w:lang w:val="en-US"/>
            </w:rPr>
          </w:pPr>
          <w:r w:rsidRPr="0000232E">
            <w:rPr>
              <w:rFonts w:ascii="Bookman Old Style" w:eastAsiaTheme="minorEastAsia" w:hAnsi="Bookman Old Style" w:cs="Times New Roman"/>
              <w:b/>
              <w:sz w:val="24"/>
              <w:szCs w:val="24"/>
              <w:lang w:val="en-US"/>
            </w:rPr>
            <w:t xml:space="preserve">Figure 10: </w:t>
          </w:r>
          <w:r>
            <w:rPr>
              <w:rFonts w:ascii="Bookman Old Style" w:eastAsiaTheme="minorEastAsia" w:hAnsi="Bookman Old Style" w:cs="Times New Roman"/>
              <w:b/>
              <w:sz w:val="24"/>
              <w:szCs w:val="24"/>
              <w:lang w:val="en-US"/>
            </w:rPr>
            <w:tab/>
          </w:r>
          <w:r w:rsidRPr="0000232E">
            <w:rPr>
              <w:rFonts w:ascii="Bookman Old Style" w:eastAsiaTheme="minorEastAsia" w:hAnsi="Bookman Old Style" w:cs="Times New Roman"/>
              <w:b/>
              <w:sz w:val="24"/>
              <w:szCs w:val="24"/>
              <w:lang w:val="en-US"/>
            </w:rPr>
            <w:t>Policy on EEG (2005-2011</w:t>
          </w:r>
          <w:r w:rsidRPr="0000232E">
            <w:rPr>
              <w:rFonts w:ascii="Bookman Old Style" w:eastAsiaTheme="minorEastAsia" w:hAnsi="Bookman Old Style" w:cs="Times New Roman"/>
              <w:b/>
              <w:sz w:val="24"/>
              <w:szCs w:val="24"/>
              <w:lang w:val="en-US"/>
            </w:rPr>
            <w:ptab w:relativeTo="margin" w:alignment="right" w:leader="dot"/>
          </w:r>
          <w:r w:rsidRPr="0000232E">
            <w:rPr>
              <w:rFonts w:ascii="Bookman Old Style" w:eastAsiaTheme="minorEastAsia" w:hAnsi="Bookman Old Style" w:cs="Times New Roman"/>
              <w:b/>
              <w:sz w:val="24"/>
              <w:szCs w:val="24"/>
              <w:lang w:val="en-US"/>
            </w:rPr>
            <w:t>33</w:t>
          </w:r>
        </w:p>
        <w:p w14:paraId="6D0C6770" w14:textId="2256EF22" w:rsidR="0000232E" w:rsidRPr="0000232E" w:rsidRDefault="0000232E" w:rsidP="0000232E">
          <w:pPr>
            <w:spacing w:after="100" w:line="360" w:lineRule="auto"/>
            <w:rPr>
              <w:rFonts w:ascii="Bookman Old Style" w:eastAsiaTheme="minorEastAsia" w:hAnsi="Bookman Old Style" w:cs="Times New Roman"/>
              <w:b/>
              <w:sz w:val="24"/>
              <w:szCs w:val="24"/>
              <w:lang w:val="en-US"/>
            </w:rPr>
          </w:pPr>
          <w:r w:rsidRPr="0000232E">
            <w:rPr>
              <w:rFonts w:ascii="Bookman Old Style" w:eastAsiaTheme="minorEastAsia" w:hAnsi="Bookman Old Style" w:cs="Times New Roman"/>
              <w:b/>
              <w:bCs/>
              <w:sz w:val="24"/>
              <w:szCs w:val="24"/>
              <w:lang w:val="en-US"/>
            </w:rPr>
            <w:t xml:space="preserve">Figure 11: </w:t>
          </w:r>
          <w:r>
            <w:rPr>
              <w:rFonts w:ascii="Bookman Old Style" w:eastAsiaTheme="minorEastAsia" w:hAnsi="Bookman Old Style" w:cs="Times New Roman"/>
              <w:b/>
              <w:bCs/>
              <w:sz w:val="24"/>
              <w:szCs w:val="24"/>
              <w:lang w:val="en-US"/>
            </w:rPr>
            <w:tab/>
          </w:r>
          <w:r w:rsidRPr="0000232E">
            <w:rPr>
              <w:rFonts w:ascii="Bookman Old Style" w:eastAsiaTheme="minorEastAsia" w:hAnsi="Bookman Old Style" w:cs="Times New Roman"/>
              <w:b/>
              <w:bCs/>
              <w:sz w:val="24"/>
              <w:szCs w:val="24"/>
              <w:lang w:val="en-US"/>
            </w:rPr>
            <w:t xml:space="preserve">Trade Facilitation and Broader Policy Initiatives </w:t>
          </w:r>
          <w:r w:rsidRPr="0000232E">
            <w:rPr>
              <w:rFonts w:ascii="Bookman Old Style" w:eastAsiaTheme="minorEastAsia" w:hAnsi="Bookman Old Style" w:cs="Times New Roman"/>
              <w:b/>
              <w:sz w:val="24"/>
              <w:szCs w:val="24"/>
              <w:lang w:val="en-US"/>
            </w:rPr>
            <w:ptab w:relativeTo="margin" w:alignment="right" w:leader="dot"/>
          </w:r>
          <w:r w:rsidRPr="0000232E">
            <w:rPr>
              <w:rFonts w:ascii="Bookman Old Style" w:eastAsiaTheme="minorEastAsia" w:hAnsi="Bookman Old Style" w:cs="Times New Roman"/>
              <w:b/>
              <w:sz w:val="24"/>
              <w:szCs w:val="24"/>
              <w:lang w:val="en-US"/>
            </w:rPr>
            <w:t>40</w:t>
          </w:r>
        </w:p>
        <w:p w14:paraId="0FE9317F" w14:textId="77777777" w:rsidR="0000232E" w:rsidRPr="0000232E" w:rsidRDefault="0000232E" w:rsidP="0000232E">
          <w:pPr>
            <w:spacing w:after="100" w:line="360" w:lineRule="auto"/>
            <w:rPr>
              <w:rFonts w:ascii="Bookman Old Style" w:eastAsiaTheme="minorEastAsia" w:hAnsi="Bookman Old Style" w:cs="Times New Roman"/>
              <w:b/>
              <w:sz w:val="24"/>
              <w:szCs w:val="24"/>
              <w:lang w:val="en-US"/>
            </w:rPr>
          </w:pPr>
          <w:r w:rsidRPr="0000232E">
            <w:rPr>
              <w:rFonts w:ascii="Bookman Old Style" w:eastAsiaTheme="minorEastAsia" w:hAnsi="Bookman Old Style" w:cs="Times New Roman"/>
              <w:b/>
              <w:sz w:val="24"/>
              <w:szCs w:val="24"/>
              <w:lang w:val="en-US"/>
            </w:rPr>
            <w:t>Figure 12:  Trend of Imports and Exports in Nigeria 2003 – 2015</w:t>
          </w:r>
          <w:r w:rsidRPr="0000232E">
            <w:rPr>
              <w:rFonts w:ascii="Bookman Old Style" w:eastAsiaTheme="minorEastAsia" w:hAnsi="Bookman Old Style" w:cs="Times New Roman"/>
              <w:b/>
              <w:sz w:val="24"/>
              <w:szCs w:val="24"/>
              <w:lang w:val="en-US"/>
            </w:rPr>
            <w:ptab w:relativeTo="margin" w:alignment="right" w:leader="dot"/>
          </w:r>
          <w:r w:rsidRPr="0000232E">
            <w:rPr>
              <w:rFonts w:ascii="Bookman Old Style" w:eastAsiaTheme="minorEastAsia" w:hAnsi="Bookman Old Style" w:cs="Times New Roman"/>
              <w:b/>
              <w:sz w:val="24"/>
              <w:szCs w:val="24"/>
              <w:lang w:val="en-US"/>
            </w:rPr>
            <w:t>43</w:t>
          </w:r>
        </w:p>
        <w:p w14:paraId="158D9953" w14:textId="43C78FB9" w:rsidR="0000232E" w:rsidRDefault="0000232E" w:rsidP="0000232E">
          <w:pPr>
            <w:spacing w:after="100" w:line="360" w:lineRule="auto"/>
            <w:rPr>
              <w:rFonts w:ascii="Bookman Old Style" w:eastAsiaTheme="minorEastAsia" w:hAnsi="Bookman Old Style" w:cs="Times New Roman"/>
              <w:b/>
              <w:sz w:val="24"/>
              <w:szCs w:val="24"/>
              <w:lang w:val="en-US"/>
            </w:rPr>
          </w:pPr>
          <w:r w:rsidRPr="0000232E">
            <w:rPr>
              <w:rFonts w:ascii="Bookman Old Style" w:eastAsiaTheme="minorEastAsia" w:hAnsi="Bookman Old Style" w:cs="Times New Roman"/>
              <w:b/>
              <w:sz w:val="24"/>
              <w:szCs w:val="24"/>
              <w:lang w:val="en-US"/>
            </w:rPr>
            <w:t xml:space="preserve">Figure 13: </w:t>
          </w:r>
          <w:r>
            <w:rPr>
              <w:rFonts w:ascii="Bookman Old Style" w:eastAsiaTheme="minorEastAsia" w:hAnsi="Bookman Old Style" w:cs="Times New Roman"/>
              <w:b/>
              <w:sz w:val="24"/>
              <w:szCs w:val="24"/>
              <w:lang w:val="en-US"/>
            </w:rPr>
            <w:tab/>
          </w:r>
          <w:r w:rsidRPr="0000232E">
            <w:rPr>
              <w:rFonts w:ascii="Bookman Old Style" w:eastAsiaTheme="minorEastAsia" w:hAnsi="Bookman Old Style" w:cs="Times New Roman"/>
              <w:b/>
              <w:sz w:val="24"/>
              <w:szCs w:val="24"/>
              <w:lang w:val="en-US"/>
            </w:rPr>
            <w:t xml:space="preserve">Product and Market Diversification of </w:t>
          </w:r>
        </w:p>
        <w:p w14:paraId="001C87B8" w14:textId="5E58F3CB" w:rsidR="0000232E" w:rsidRPr="0000232E" w:rsidRDefault="0000232E" w:rsidP="0000232E">
          <w:pPr>
            <w:spacing w:after="100" w:line="360" w:lineRule="auto"/>
            <w:ind w:left="720" w:firstLine="720"/>
            <w:rPr>
              <w:rFonts w:ascii="Bookman Old Style" w:eastAsiaTheme="minorEastAsia" w:hAnsi="Bookman Old Style" w:cs="Times New Roman"/>
              <w:b/>
              <w:sz w:val="24"/>
              <w:szCs w:val="24"/>
              <w:lang w:val="en-US"/>
            </w:rPr>
          </w:pPr>
          <w:r w:rsidRPr="0000232E">
            <w:rPr>
              <w:rFonts w:ascii="Bookman Old Style" w:eastAsiaTheme="minorEastAsia" w:hAnsi="Bookman Old Style" w:cs="Times New Roman"/>
              <w:b/>
              <w:sz w:val="24"/>
              <w:szCs w:val="24"/>
              <w:lang w:val="en-US"/>
            </w:rPr>
            <w:t xml:space="preserve">ECOWAS Member States </w:t>
          </w:r>
          <w:r w:rsidRPr="0000232E">
            <w:rPr>
              <w:rFonts w:ascii="Bookman Old Style" w:eastAsiaTheme="minorEastAsia" w:hAnsi="Bookman Old Style" w:cs="Times New Roman"/>
              <w:b/>
              <w:sz w:val="24"/>
              <w:szCs w:val="24"/>
              <w:lang w:val="en-US"/>
            </w:rPr>
            <w:ptab w:relativeTo="margin" w:alignment="right" w:leader="dot"/>
          </w:r>
          <w:r w:rsidRPr="0000232E">
            <w:rPr>
              <w:rFonts w:ascii="Bookman Old Style" w:eastAsiaTheme="minorEastAsia" w:hAnsi="Bookman Old Style" w:cs="Times New Roman"/>
              <w:b/>
              <w:sz w:val="24"/>
              <w:szCs w:val="24"/>
              <w:lang w:val="en-US"/>
            </w:rPr>
            <w:t>46</w:t>
          </w:r>
        </w:p>
        <w:p w14:paraId="39155176" w14:textId="77777777" w:rsidR="0000232E" w:rsidRDefault="0000232E" w:rsidP="0000232E">
          <w:pPr>
            <w:spacing w:after="100" w:line="360" w:lineRule="auto"/>
            <w:rPr>
              <w:rFonts w:ascii="Bookman Old Style" w:eastAsiaTheme="minorEastAsia" w:hAnsi="Bookman Old Style" w:cs="Times New Roman"/>
              <w:b/>
              <w:bCs/>
              <w:sz w:val="24"/>
              <w:szCs w:val="24"/>
              <w:lang w:val="en-US"/>
            </w:rPr>
          </w:pPr>
          <w:r w:rsidRPr="0000232E">
            <w:rPr>
              <w:rFonts w:ascii="Bookman Old Style" w:eastAsiaTheme="minorEastAsia" w:hAnsi="Bookman Old Style" w:cs="Times New Roman"/>
              <w:b/>
              <w:bCs/>
              <w:sz w:val="24"/>
              <w:szCs w:val="24"/>
              <w:lang w:val="en-US"/>
            </w:rPr>
            <w:t xml:space="preserve">Figure 14: </w:t>
          </w:r>
          <w:r>
            <w:rPr>
              <w:rFonts w:ascii="Bookman Old Style" w:eastAsiaTheme="minorEastAsia" w:hAnsi="Bookman Old Style" w:cs="Times New Roman"/>
              <w:b/>
              <w:bCs/>
              <w:sz w:val="24"/>
              <w:szCs w:val="24"/>
              <w:lang w:val="en-US"/>
            </w:rPr>
            <w:tab/>
          </w:r>
          <w:r w:rsidRPr="0000232E">
            <w:rPr>
              <w:rFonts w:ascii="Bookman Old Style" w:eastAsiaTheme="minorEastAsia" w:hAnsi="Bookman Old Style" w:cs="Times New Roman"/>
              <w:b/>
              <w:bCs/>
              <w:sz w:val="24"/>
              <w:szCs w:val="24"/>
              <w:lang w:val="en-US"/>
            </w:rPr>
            <w:t xml:space="preserve">Main Success Factors Reported in Case Studies on </w:t>
          </w:r>
        </w:p>
        <w:p w14:paraId="618F4242" w14:textId="46E0CC95" w:rsidR="0000232E" w:rsidRPr="0000232E" w:rsidRDefault="0000232E" w:rsidP="0000232E">
          <w:pPr>
            <w:spacing w:after="100" w:line="360" w:lineRule="auto"/>
            <w:ind w:left="720" w:firstLine="720"/>
            <w:rPr>
              <w:rFonts w:ascii="Bookman Old Style" w:eastAsiaTheme="minorEastAsia" w:hAnsi="Bookman Old Style" w:cs="Times New Roman"/>
              <w:b/>
              <w:sz w:val="24"/>
              <w:szCs w:val="24"/>
              <w:lang w:val="en-US"/>
            </w:rPr>
          </w:pPr>
          <w:r w:rsidRPr="0000232E">
            <w:rPr>
              <w:rFonts w:ascii="Bookman Old Style" w:eastAsiaTheme="minorEastAsia" w:hAnsi="Bookman Old Style" w:cs="Times New Roman"/>
              <w:b/>
              <w:bCs/>
              <w:sz w:val="24"/>
              <w:szCs w:val="24"/>
              <w:lang w:val="en-US"/>
            </w:rPr>
            <w:t xml:space="preserve">Trade Facilitation </w:t>
          </w:r>
          <w:r w:rsidRPr="0000232E">
            <w:rPr>
              <w:rFonts w:ascii="Bookman Old Style" w:eastAsiaTheme="minorEastAsia" w:hAnsi="Bookman Old Style" w:cs="Times New Roman"/>
              <w:b/>
              <w:sz w:val="24"/>
              <w:szCs w:val="24"/>
              <w:lang w:val="en-US"/>
            </w:rPr>
            <w:ptab w:relativeTo="margin" w:alignment="right" w:leader="dot"/>
          </w:r>
          <w:r w:rsidRPr="0000232E">
            <w:rPr>
              <w:rFonts w:ascii="Bookman Old Style" w:eastAsiaTheme="minorEastAsia" w:hAnsi="Bookman Old Style" w:cs="Times New Roman"/>
              <w:b/>
              <w:sz w:val="24"/>
              <w:szCs w:val="24"/>
              <w:lang w:val="en-US"/>
            </w:rPr>
            <w:t>54</w:t>
          </w:r>
        </w:p>
        <w:p w14:paraId="4FEDC275" w14:textId="0D041857" w:rsidR="0000232E" w:rsidRPr="0000232E" w:rsidRDefault="0000232E" w:rsidP="0000232E">
          <w:pPr>
            <w:spacing w:after="100" w:line="360" w:lineRule="auto"/>
            <w:rPr>
              <w:rFonts w:eastAsiaTheme="minorEastAsia" w:cs="Times New Roman"/>
              <w:lang w:val="en-US"/>
            </w:rPr>
          </w:pPr>
          <w:r w:rsidRPr="0000232E">
            <w:rPr>
              <w:rFonts w:ascii="Bookman Old Style" w:eastAsiaTheme="minorEastAsia" w:hAnsi="Bookman Old Style" w:cs="Times New Roman"/>
              <w:b/>
              <w:sz w:val="24"/>
              <w:szCs w:val="24"/>
              <w:lang w:val="en-US"/>
            </w:rPr>
            <w:t xml:space="preserve">Figure 15: </w:t>
          </w:r>
          <w:r>
            <w:rPr>
              <w:rFonts w:ascii="Bookman Old Style" w:eastAsiaTheme="minorEastAsia" w:hAnsi="Bookman Old Style" w:cs="Times New Roman"/>
              <w:b/>
              <w:sz w:val="24"/>
              <w:szCs w:val="24"/>
              <w:lang w:val="en-US"/>
            </w:rPr>
            <w:tab/>
          </w:r>
          <w:r w:rsidRPr="0000232E">
            <w:rPr>
              <w:rFonts w:ascii="Bookman Old Style" w:eastAsiaTheme="minorEastAsia" w:hAnsi="Bookman Old Style" w:cs="Times New Roman"/>
              <w:b/>
              <w:sz w:val="24"/>
              <w:szCs w:val="24"/>
              <w:lang w:val="en-US"/>
            </w:rPr>
            <w:t xml:space="preserve">Relevant Stakeholders in TFA implementation </w:t>
          </w:r>
          <w:r w:rsidRPr="0000232E">
            <w:rPr>
              <w:rFonts w:ascii="Bookman Old Style" w:eastAsiaTheme="minorEastAsia" w:hAnsi="Bookman Old Style" w:cs="Times New Roman"/>
              <w:b/>
              <w:sz w:val="24"/>
              <w:szCs w:val="24"/>
              <w:lang w:val="en-US"/>
            </w:rPr>
            <w:ptab w:relativeTo="margin" w:alignment="right" w:leader="dot"/>
          </w:r>
          <w:r w:rsidRPr="0000232E">
            <w:rPr>
              <w:rFonts w:ascii="Bookman Old Style" w:eastAsiaTheme="minorEastAsia" w:hAnsi="Bookman Old Style" w:cs="Times New Roman"/>
              <w:b/>
              <w:sz w:val="24"/>
              <w:szCs w:val="24"/>
              <w:lang w:val="en-US"/>
            </w:rPr>
            <w:t>55</w:t>
          </w:r>
        </w:p>
      </w:sdtContent>
    </w:sdt>
    <w:p w14:paraId="088F49D4" w14:textId="02169D03" w:rsidR="008B2FDA" w:rsidRDefault="008B2FDA" w:rsidP="008535DE">
      <w:pPr>
        <w:rPr>
          <w:rFonts w:ascii="Bookman Old Style" w:hAnsi="Bookman Old Style"/>
          <w:b/>
          <w:sz w:val="24"/>
          <w:szCs w:val="24"/>
        </w:rPr>
      </w:pPr>
    </w:p>
    <w:p w14:paraId="38921D95" w14:textId="64C162A9" w:rsidR="008B2FDA" w:rsidRDefault="008B2FDA" w:rsidP="008535DE">
      <w:pPr>
        <w:rPr>
          <w:rFonts w:ascii="Bookman Old Style" w:hAnsi="Bookman Old Style"/>
          <w:b/>
          <w:sz w:val="24"/>
          <w:szCs w:val="24"/>
        </w:rPr>
      </w:pPr>
    </w:p>
    <w:p w14:paraId="69F2ECC5" w14:textId="33B30A2B" w:rsidR="008B2FDA" w:rsidRDefault="008B2FDA" w:rsidP="008535DE">
      <w:pPr>
        <w:rPr>
          <w:rFonts w:ascii="Bookman Old Style" w:hAnsi="Bookman Old Style"/>
          <w:b/>
          <w:sz w:val="24"/>
          <w:szCs w:val="24"/>
        </w:rPr>
      </w:pPr>
    </w:p>
    <w:p w14:paraId="579A82B7" w14:textId="713656AE" w:rsidR="008B2FDA" w:rsidRDefault="008B2FDA" w:rsidP="008535DE">
      <w:pPr>
        <w:rPr>
          <w:rFonts w:ascii="Bookman Old Style" w:hAnsi="Bookman Old Style"/>
          <w:b/>
          <w:sz w:val="24"/>
          <w:szCs w:val="24"/>
        </w:rPr>
      </w:pPr>
    </w:p>
    <w:p w14:paraId="4CA8499F" w14:textId="77777777" w:rsidR="0000232E" w:rsidRDefault="0000232E" w:rsidP="008535DE">
      <w:pPr>
        <w:rPr>
          <w:rFonts w:ascii="Bookman Old Style" w:hAnsi="Bookman Old Style"/>
          <w:b/>
          <w:sz w:val="24"/>
          <w:szCs w:val="24"/>
        </w:rPr>
      </w:pPr>
    </w:p>
    <w:p w14:paraId="652152E0" w14:textId="6350D80A" w:rsidR="00F64C37" w:rsidRDefault="00F64C37" w:rsidP="008535DE">
      <w:pPr>
        <w:rPr>
          <w:rFonts w:ascii="Bookman Old Style" w:hAnsi="Bookman Old Style"/>
          <w:b/>
          <w:sz w:val="24"/>
          <w:szCs w:val="24"/>
        </w:rPr>
      </w:pPr>
    </w:p>
    <w:p w14:paraId="2F7CE807" w14:textId="77777777" w:rsidR="00185FC4" w:rsidRDefault="00185FC4" w:rsidP="008535DE">
      <w:pPr>
        <w:rPr>
          <w:rFonts w:ascii="Bookman Old Style" w:hAnsi="Bookman Old Style"/>
          <w:b/>
          <w:sz w:val="24"/>
          <w:szCs w:val="24"/>
        </w:rPr>
      </w:pPr>
    </w:p>
    <w:p w14:paraId="7874705C" w14:textId="02463631" w:rsidR="008535DE" w:rsidRDefault="008535DE" w:rsidP="008B2FDA">
      <w:pPr>
        <w:rPr>
          <w:rFonts w:ascii="Bookman Old Style" w:hAnsi="Bookman Old Style"/>
          <w:b/>
          <w:sz w:val="24"/>
          <w:szCs w:val="24"/>
        </w:rPr>
      </w:pPr>
    </w:p>
    <w:p w14:paraId="3F39EC78" w14:textId="4191263B" w:rsidR="00493D7A" w:rsidRPr="00FB5722" w:rsidRDefault="00493D7A" w:rsidP="00FB5722">
      <w:pPr>
        <w:jc w:val="center"/>
        <w:rPr>
          <w:rFonts w:ascii="Bookman Old Style" w:hAnsi="Bookman Old Style"/>
          <w:b/>
          <w:sz w:val="24"/>
          <w:szCs w:val="24"/>
        </w:rPr>
      </w:pPr>
      <w:r w:rsidRPr="00FB5722">
        <w:rPr>
          <w:rFonts w:ascii="Bookman Old Style" w:hAnsi="Bookman Old Style"/>
          <w:b/>
          <w:sz w:val="24"/>
          <w:szCs w:val="24"/>
        </w:rPr>
        <w:lastRenderedPageBreak/>
        <w:t>EXECUTIVE SUMMARY</w:t>
      </w:r>
    </w:p>
    <w:p w14:paraId="2C317C28" w14:textId="77777777" w:rsidR="0044041A" w:rsidRPr="00AF6713" w:rsidRDefault="0044041A" w:rsidP="00AF6713">
      <w:pPr>
        <w:spacing w:after="0" w:line="360" w:lineRule="auto"/>
        <w:jc w:val="both"/>
        <w:rPr>
          <w:rFonts w:ascii="Bookman Old Style" w:hAnsi="Bookman Old Style" w:cs="Arial"/>
          <w:b/>
          <w:sz w:val="24"/>
          <w:szCs w:val="24"/>
        </w:rPr>
      </w:pPr>
      <w:r w:rsidRPr="00AF6713">
        <w:rPr>
          <w:rFonts w:ascii="Bookman Old Style" w:hAnsi="Bookman Old Style" w:cs="Arial"/>
          <w:sz w:val="24"/>
          <w:szCs w:val="24"/>
        </w:rPr>
        <w:t xml:space="preserve">That the Nigerian economy is structurally deficient is not just a statistical fact, but a daily practical experience by many! While this reality is also compounded by the inapt, weak and often cloudy policy stances of past administration, the sole culprit, has viewed by analyst, is the awkward structure upon which the economic foundation is based. Over the years, this challenge has manifested itself in different ways namely low domestic capacity, marginal contribution of industrial sector national output, massive importation and the attendant impacts on the fiscal balance, chronic youth unemployment and exclusiveness. </w:t>
      </w:r>
    </w:p>
    <w:p w14:paraId="0174C5BB" w14:textId="77777777" w:rsidR="0044041A" w:rsidRPr="00AF6713" w:rsidRDefault="0044041A" w:rsidP="00AF6713">
      <w:pPr>
        <w:spacing w:after="0" w:line="360" w:lineRule="auto"/>
        <w:jc w:val="both"/>
        <w:rPr>
          <w:rFonts w:ascii="Bookman Old Style" w:hAnsi="Bookman Old Style" w:cs="Arial"/>
          <w:color w:val="000000" w:themeColor="text1"/>
          <w:sz w:val="24"/>
          <w:szCs w:val="24"/>
          <w:lang w:val="en-US"/>
        </w:rPr>
      </w:pPr>
      <w:r w:rsidRPr="00AF6713">
        <w:rPr>
          <w:rFonts w:ascii="Bookman Old Style" w:hAnsi="Bookman Old Style" w:cs="Arial"/>
          <w:color w:val="000000" w:themeColor="text1"/>
          <w:sz w:val="24"/>
          <w:szCs w:val="24"/>
          <w:lang w:val="en-US"/>
        </w:rPr>
        <w:t xml:space="preserve">Recently, the Nigerian economy plunged into recession with woeful performance across all major economic indicators. The economy experienced a negative growth of -1.5%. Inflation rate closed the year at 18.55% from 9% in January, 2017. Unemployment rate also increased to 13.9% in the third quarter of the year 2016 from 10.4% in the fourth quarter of 2015. </w:t>
      </w:r>
    </w:p>
    <w:p w14:paraId="77D23713" w14:textId="77777777" w:rsidR="0044041A" w:rsidRPr="00AF6713" w:rsidRDefault="0044041A" w:rsidP="00AF6713">
      <w:pPr>
        <w:spacing w:after="0" w:line="360" w:lineRule="auto"/>
        <w:jc w:val="both"/>
        <w:rPr>
          <w:rFonts w:ascii="Bookman Old Style" w:hAnsi="Bookman Old Style" w:cs="Arial"/>
          <w:sz w:val="24"/>
          <w:szCs w:val="24"/>
        </w:rPr>
      </w:pPr>
      <w:r w:rsidRPr="00AF6713">
        <w:rPr>
          <w:rFonts w:ascii="Bookman Old Style" w:hAnsi="Bookman Old Style" w:cs="Arial"/>
          <w:color w:val="000000" w:themeColor="text1"/>
          <w:sz w:val="24"/>
          <w:szCs w:val="24"/>
          <w:lang w:val="en-US"/>
        </w:rPr>
        <w:t>T</w:t>
      </w:r>
      <w:r w:rsidRPr="00AF6713">
        <w:rPr>
          <w:rFonts w:ascii="Bookman Old Style" w:hAnsi="Bookman Old Style" w:cs="Arial"/>
          <w:sz w:val="24"/>
          <w:szCs w:val="24"/>
        </w:rPr>
        <w:t xml:space="preserve">he need for recovery and growth after the challenge of economic recession, thus, becomes more evident. To arrest the trend, the federal government launched the National Economic Recovery and Growth Plan (NERGP), a 4-year Medium Term Plan (2017-2020). The is a strategic document which details 24 programmes, 60 strategies with 5 key execution articulates three objectives, namely restoring growth, investing in the people and building a competitive economy. Achieving macroeconomic stability and economic diversification presumes the need for policy focus on the key sectors in order to achieve domestic sufficiency and promote export. This lofty ambition primarily summarises the spirit behind the made-in-Nigeria campaign and subsequently the ERG Plan. </w:t>
      </w:r>
    </w:p>
    <w:p w14:paraId="5697D12F" w14:textId="77777777" w:rsidR="00AF6713" w:rsidRDefault="00AF6713" w:rsidP="00AF6713">
      <w:pPr>
        <w:spacing w:after="0" w:line="360" w:lineRule="auto"/>
        <w:jc w:val="both"/>
        <w:rPr>
          <w:rFonts w:ascii="Bookman Old Style" w:hAnsi="Bookman Old Style" w:cs="Arial"/>
          <w:sz w:val="24"/>
          <w:szCs w:val="24"/>
        </w:rPr>
      </w:pPr>
    </w:p>
    <w:p w14:paraId="1940D211" w14:textId="77777777" w:rsidR="0044041A" w:rsidRPr="00AF6713" w:rsidRDefault="0044041A" w:rsidP="00AF6713">
      <w:pPr>
        <w:spacing w:after="0" w:line="360" w:lineRule="auto"/>
        <w:jc w:val="both"/>
        <w:rPr>
          <w:rFonts w:ascii="Bookman Old Style" w:hAnsi="Bookman Old Style" w:cs="Arial"/>
          <w:sz w:val="24"/>
          <w:szCs w:val="24"/>
        </w:rPr>
      </w:pPr>
      <w:r w:rsidRPr="00AF6713">
        <w:rPr>
          <w:rFonts w:ascii="Bookman Old Style" w:hAnsi="Bookman Old Style" w:cs="Arial"/>
          <w:sz w:val="24"/>
          <w:szCs w:val="24"/>
        </w:rPr>
        <w:t xml:space="preserve">This study on the export potentials of Nigeria is born out of this necessity, to highlight the undercurrents and develop strategies for realising sustainable non-oil export push. It proffers extensive perspectives and propositions on export promotion and economic diversification in Nigeria. It delves into critical discussions around evaluation of conditions that must be considered </w:t>
      </w:r>
      <w:r w:rsidRPr="00AF6713">
        <w:rPr>
          <w:rFonts w:ascii="Bookman Old Style" w:hAnsi="Bookman Old Style" w:cs="Arial"/>
          <w:sz w:val="24"/>
          <w:szCs w:val="24"/>
        </w:rPr>
        <w:lastRenderedPageBreak/>
        <w:t>and strategies that must be explored in enhancing non-oil sector export. Bearing in mind the strategic role of regulation and institutions in fostering export-enhancing initiatives, the study examines and recommends trade reforms. More specifically, the following key points are leveraged in this study:</w:t>
      </w:r>
    </w:p>
    <w:p w14:paraId="66C78F6B" w14:textId="30275068" w:rsidR="0044041A" w:rsidRPr="00AF6713" w:rsidRDefault="00953A07" w:rsidP="00AF6713">
      <w:pPr>
        <w:pStyle w:val="ListParagraph"/>
        <w:numPr>
          <w:ilvl w:val="0"/>
          <w:numId w:val="75"/>
        </w:numPr>
        <w:spacing w:after="0" w:line="360" w:lineRule="auto"/>
        <w:jc w:val="both"/>
        <w:rPr>
          <w:rFonts w:ascii="Bookman Old Style" w:hAnsi="Bookman Old Style" w:cs="Arial"/>
          <w:sz w:val="24"/>
          <w:szCs w:val="24"/>
        </w:rPr>
      </w:pPr>
      <w:r>
        <w:rPr>
          <w:rFonts w:ascii="Bookman Old Style" w:hAnsi="Bookman Old Style" w:cs="Arial"/>
          <w:sz w:val="24"/>
          <w:szCs w:val="24"/>
        </w:rPr>
        <w:t>Section</w:t>
      </w:r>
      <w:r w:rsidR="0044041A" w:rsidRPr="00AF6713">
        <w:rPr>
          <w:rFonts w:ascii="Bookman Old Style" w:hAnsi="Bookman Old Style" w:cs="Arial"/>
          <w:sz w:val="24"/>
          <w:szCs w:val="24"/>
        </w:rPr>
        <w:t xml:space="preserve"> 1 reviews the current state of the economy</w:t>
      </w:r>
    </w:p>
    <w:p w14:paraId="10D5F363" w14:textId="54817D0F" w:rsidR="0044041A" w:rsidRPr="00AF6713" w:rsidRDefault="00953A07" w:rsidP="00AF6713">
      <w:pPr>
        <w:pStyle w:val="ListParagraph"/>
        <w:numPr>
          <w:ilvl w:val="0"/>
          <w:numId w:val="75"/>
        </w:numPr>
        <w:spacing w:after="0" w:line="360" w:lineRule="auto"/>
        <w:jc w:val="both"/>
        <w:rPr>
          <w:rFonts w:ascii="Bookman Old Style" w:hAnsi="Bookman Old Style" w:cs="Arial"/>
          <w:sz w:val="24"/>
          <w:szCs w:val="24"/>
        </w:rPr>
      </w:pPr>
      <w:r>
        <w:rPr>
          <w:rFonts w:ascii="Bookman Old Style" w:hAnsi="Bookman Old Style" w:cs="Arial"/>
          <w:sz w:val="24"/>
          <w:szCs w:val="24"/>
        </w:rPr>
        <w:t>Section</w:t>
      </w:r>
      <w:r w:rsidR="0044041A" w:rsidRPr="00AF6713">
        <w:rPr>
          <w:rFonts w:ascii="Bookman Old Style" w:hAnsi="Bookman Old Style" w:cs="Arial"/>
          <w:sz w:val="24"/>
          <w:szCs w:val="24"/>
        </w:rPr>
        <w:t xml:space="preserve"> 2 explores the economic diversification agenda, self-sufficiency enhancement and export push strategy/initiatives with a special focus on the Nigerian Export Promotion Council (NEPC) launched initiative of Zero Oil Plan in October 2016, the Agriculture Promotion Policy (APP) and the National Enterprise Development Programme/One-Local Government-One Product (NEDEP/OLOP).</w:t>
      </w:r>
    </w:p>
    <w:p w14:paraId="7AE6C593" w14:textId="4C37F84F" w:rsidR="0044041A" w:rsidRPr="00AF6713" w:rsidRDefault="00953A07" w:rsidP="00AF6713">
      <w:pPr>
        <w:pStyle w:val="ListParagraph"/>
        <w:numPr>
          <w:ilvl w:val="0"/>
          <w:numId w:val="75"/>
        </w:numPr>
        <w:spacing w:after="0" w:line="360" w:lineRule="auto"/>
        <w:jc w:val="both"/>
        <w:rPr>
          <w:rFonts w:ascii="Bookman Old Style" w:hAnsi="Bookman Old Style" w:cs="Arial"/>
          <w:sz w:val="24"/>
          <w:szCs w:val="24"/>
        </w:rPr>
      </w:pPr>
      <w:r>
        <w:rPr>
          <w:rFonts w:ascii="Bookman Old Style" w:hAnsi="Bookman Old Style" w:cs="Arial"/>
          <w:sz w:val="24"/>
          <w:szCs w:val="24"/>
        </w:rPr>
        <w:t>Section 3 considers the f</w:t>
      </w:r>
      <w:r w:rsidR="0044041A" w:rsidRPr="00AF6713">
        <w:rPr>
          <w:rFonts w:ascii="Bookman Old Style" w:hAnsi="Bookman Old Style" w:cs="Arial"/>
          <w:sz w:val="24"/>
          <w:szCs w:val="24"/>
        </w:rPr>
        <w:t>actors inhibiting actualisation of true export potentials</w:t>
      </w:r>
    </w:p>
    <w:p w14:paraId="0236837B" w14:textId="2EF7BB62" w:rsidR="0044041A" w:rsidRPr="00AF6713" w:rsidRDefault="00953A07" w:rsidP="00AF6713">
      <w:pPr>
        <w:pStyle w:val="ListParagraph"/>
        <w:numPr>
          <w:ilvl w:val="0"/>
          <w:numId w:val="75"/>
        </w:numPr>
        <w:spacing w:after="0" w:line="360" w:lineRule="auto"/>
        <w:jc w:val="both"/>
        <w:rPr>
          <w:rFonts w:ascii="Bookman Old Style" w:hAnsi="Bookman Old Style" w:cs="Arial"/>
          <w:sz w:val="24"/>
          <w:szCs w:val="24"/>
        </w:rPr>
      </w:pPr>
      <w:r>
        <w:rPr>
          <w:rFonts w:ascii="Bookman Old Style" w:hAnsi="Bookman Old Style" w:cs="Arial"/>
          <w:sz w:val="24"/>
          <w:szCs w:val="24"/>
        </w:rPr>
        <w:t>Chapter 4 highlights</w:t>
      </w:r>
      <w:r w:rsidR="0044041A" w:rsidRPr="00AF6713">
        <w:rPr>
          <w:rFonts w:ascii="Bookman Old Style" w:hAnsi="Bookman Old Style" w:cs="Arial"/>
          <w:sz w:val="24"/>
          <w:szCs w:val="24"/>
        </w:rPr>
        <w:t xml:space="preserve"> potentials and opportunities of non-oil export</w:t>
      </w:r>
    </w:p>
    <w:p w14:paraId="005EA888" w14:textId="75468F63" w:rsidR="0044041A" w:rsidRPr="00AF6713" w:rsidRDefault="00953A07" w:rsidP="00AF6713">
      <w:pPr>
        <w:pStyle w:val="ListParagraph"/>
        <w:numPr>
          <w:ilvl w:val="0"/>
          <w:numId w:val="75"/>
        </w:numPr>
        <w:spacing w:after="0" w:line="360" w:lineRule="auto"/>
        <w:jc w:val="both"/>
        <w:rPr>
          <w:rFonts w:ascii="Bookman Old Style" w:hAnsi="Bookman Old Style" w:cs="Arial"/>
          <w:sz w:val="24"/>
          <w:szCs w:val="24"/>
        </w:rPr>
      </w:pPr>
      <w:r>
        <w:rPr>
          <w:rFonts w:ascii="Bookman Old Style" w:hAnsi="Bookman Old Style" w:cs="Arial"/>
          <w:sz w:val="24"/>
          <w:szCs w:val="24"/>
        </w:rPr>
        <w:t>Section suggests t</w:t>
      </w:r>
      <w:r w:rsidR="0044041A" w:rsidRPr="00AF6713">
        <w:rPr>
          <w:rFonts w:ascii="Bookman Old Style" w:hAnsi="Bookman Old Style" w:cs="Arial"/>
          <w:bCs/>
          <w:sz w:val="24"/>
          <w:szCs w:val="24"/>
        </w:rPr>
        <w:t>argeted policy and institutional reforms</w:t>
      </w:r>
    </w:p>
    <w:p w14:paraId="4A740847" w14:textId="77777777" w:rsidR="00493D7A" w:rsidRDefault="00493D7A"/>
    <w:p w14:paraId="606E7655" w14:textId="77777777" w:rsidR="00493D7A" w:rsidRDefault="00493D7A"/>
    <w:p w14:paraId="08BE9611" w14:textId="77777777" w:rsidR="00493D7A" w:rsidRDefault="00493D7A"/>
    <w:p w14:paraId="128FAEF8" w14:textId="77777777" w:rsidR="00493D7A" w:rsidRDefault="00493D7A"/>
    <w:p w14:paraId="2D381AB0" w14:textId="77777777" w:rsidR="00493D7A" w:rsidRDefault="00493D7A"/>
    <w:p w14:paraId="5C64AD6C" w14:textId="77777777" w:rsidR="00493D7A" w:rsidRDefault="00493D7A"/>
    <w:p w14:paraId="1D5E001F" w14:textId="77777777" w:rsidR="00493D7A" w:rsidRDefault="00493D7A"/>
    <w:p w14:paraId="3A3770B7" w14:textId="77777777" w:rsidR="00493D7A" w:rsidRDefault="00493D7A"/>
    <w:p w14:paraId="7BEBF2F2" w14:textId="77777777" w:rsidR="00493D7A" w:rsidRDefault="00493D7A"/>
    <w:p w14:paraId="25D41F48" w14:textId="77777777" w:rsidR="00493D7A" w:rsidRDefault="00493D7A"/>
    <w:p w14:paraId="55C0E040" w14:textId="0EDF4B92" w:rsidR="00493D7A" w:rsidRDefault="00493D7A"/>
    <w:p w14:paraId="2762D4CA" w14:textId="77777777" w:rsidR="00185FC4" w:rsidRDefault="00185FC4"/>
    <w:p w14:paraId="6367E1F2" w14:textId="77777777" w:rsidR="00493D7A" w:rsidRDefault="00493D7A"/>
    <w:p w14:paraId="3295C6AC" w14:textId="2E99AC1C" w:rsidR="00493D7A" w:rsidRDefault="00493D7A"/>
    <w:p w14:paraId="586C8CCE" w14:textId="77777777" w:rsidR="00DD21A5" w:rsidRDefault="00DD21A5"/>
    <w:p w14:paraId="4FD3E065" w14:textId="77777777" w:rsidR="00D4147F" w:rsidRDefault="00D4147F" w:rsidP="00AF6713">
      <w:pPr>
        <w:spacing w:after="0" w:line="240" w:lineRule="auto"/>
      </w:pPr>
    </w:p>
    <w:p w14:paraId="6E65A466" w14:textId="68E261EE" w:rsidR="00493D7A" w:rsidRPr="00AF6713" w:rsidRDefault="0044041A" w:rsidP="00AF6713">
      <w:pPr>
        <w:spacing w:after="0" w:line="240" w:lineRule="auto"/>
        <w:rPr>
          <w:rFonts w:ascii="Bookman Old Style" w:hAnsi="Bookman Old Style"/>
          <w:b/>
        </w:rPr>
      </w:pPr>
      <w:r>
        <w:rPr>
          <w:rFonts w:ascii="Bookman Old Style" w:hAnsi="Bookman Old Style"/>
          <w:b/>
        </w:rPr>
        <w:t>SECTION</w:t>
      </w:r>
      <w:r w:rsidR="00AF6713">
        <w:rPr>
          <w:rFonts w:ascii="Bookman Old Style" w:hAnsi="Bookman Old Style"/>
          <w:b/>
        </w:rPr>
        <w:t xml:space="preserve"> 1: </w:t>
      </w:r>
      <w:r w:rsidR="00FB5722">
        <w:rPr>
          <w:rFonts w:ascii="Bookman Old Style" w:hAnsi="Bookman Old Style"/>
          <w:b/>
        </w:rPr>
        <w:t>OVERVIEW OF THE NIGERIA</w:t>
      </w:r>
      <w:r w:rsidR="00AF6713">
        <w:rPr>
          <w:rFonts w:ascii="Bookman Old Style" w:hAnsi="Bookman Old Style"/>
          <w:b/>
        </w:rPr>
        <w:t xml:space="preserve"> ECONOMY</w:t>
      </w:r>
    </w:p>
    <w:p w14:paraId="4C60CBE0" w14:textId="77777777" w:rsidR="00493D7A" w:rsidRPr="00A23306" w:rsidRDefault="00493D7A" w:rsidP="00493D7A">
      <w:pPr>
        <w:spacing w:after="0" w:line="240" w:lineRule="auto"/>
        <w:jc w:val="both"/>
        <w:rPr>
          <w:rFonts w:ascii="Bookman Old Style" w:hAnsi="Bookman Old Style"/>
        </w:rPr>
      </w:pPr>
      <w:r w:rsidRPr="00A23306">
        <w:rPr>
          <w:rFonts w:ascii="Bookman Old Style" w:hAnsi="Bookman Old Style"/>
        </w:rPr>
        <w:t>Nigeria is a paradox. Despite being blessed with abundant human and natural resources, over 50% of its population live on less than a dollar per day.</w:t>
      </w:r>
    </w:p>
    <w:p w14:paraId="387A1CBA" w14:textId="77777777" w:rsidR="00493D7A" w:rsidRPr="00A23306" w:rsidRDefault="00493D7A" w:rsidP="00493D7A">
      <w:pPr>
        <w:spacing w:after="0" w:line="240" w:lineRule="auto"/>
        <w:jc w:val="both"/>
        <w:rPr>
          <w:rFonts w:ascii="Bookman Old Style" w:hAnsi="Bookman Old Style"/>
        </w:rPr>
      </w:pPr>
    </w:p>
    <w:p w14:paraId="3FACE8EE" w14:textId="77777777" w:rsidR="00493D7A" w:rsidRPr="00FB6273" w:rsidRDefault="00493D7A" w:rsidP="00493D7A">
      <w:pPr>
        <w:spacing w:after="0" w:line="240" w:lineRule="auto"/>
        <w:jc w:val="both"/>
        <w:rPr>
          <w:rFonts w:ascii="Bookman Old Style" w:hAnsi="Bookman Old Style"/>
        </w:rPr>
      </w:pPr>
      <w:r>
        <w:rPr>
          <w:rFonts w:ascii="Bookman Old Style" w:hAnsi="Bookman Old Style"/>
        </w:rPr>
        <w:t>The Nigeria economy that once</w:t>
      </w:r>
      <w:r w:rsidRPr="00FB6273">
        <w:rPr>
          <w:rFonts w:ascii="Bookman Old Style" w:hAnsi="Bookman Old Style"/>
        </w:rPr>
        <w:t xml:space="preserve"> prided itself in the abundance of natural resources in forms ready for use by industrial concerns and as such the scramb</w:t>
      </w:r>
      <w:r>
        <w:rPr>
          <w:rFonts w:ascii="Bookman Old Style" w:hAnsi="Bookman Old Style"/>
        </w:rPr>
        <w:t xml:space="preserve">le and partitioning </w:t>
      </w:r>
      <w:r w:rsidRPr="00FB6273">
        <w:rPr>
          <w:rFonts w:ascii="Bookman Old Style" w:hAnsi="Bookman Old Style"/>
        </w:rPr>
        <w:t xml:space="preserve">by European powers post -colonial era was essentially a scramble for the abundant mineral and other essential natural resources we were and still are blessed with but sadly, over half a century after independence, we still have cringed to a mono-economy </w:t>
      </w:r>
      <w:r>
        <w:rPr>
          <w:rFonts w:ascii="Bookman Old Style" w:hAnsi="Bookman Old Style"/>
        </w:rPr>
        <w:t>with its attendant consequences on macroeconomic performance.</w:t>
      </w:r>
    </w:p>
    <w:p w14:paraId="6770D8BC" w14:textId="77777777" w:rsidR="00493D7A" w:rsidRPr="00FB6273" w:rsidRDefault="00493D7A" w:rsidP="00493D7A">
      <w:pPr>
        <w:spacing w:after="0" w:line="240" w:lineRule="auto"/>
        <w:jc w:val="both"/>
        <w:rPr>
          <w:rFonts w:ascii="Bookman Old Style" w:hAnsi="Bookman Old Style"/>
        </w:rPr>
      </w:pPr>
    </w:p>
    <w:p w14:paraId="6F37A22D" w14:textId="77777777" w:rsidR="00493D7A" w:rsidRPr="00FB6273" w:rsidRDefault="00493D7A" w:rsidP="00493D7A">
      <w:pPr>
        <w:spacing w:after="0" w:line="240" w:lineRule="auto"/>
        <w:jc w:val="both"/>
        <w:rPr>
          <w:rFonts w:ascii="Bookman Old Style" w:hAnsi="Bookman Old Style"/>
        </w:rPr>
      </w:pPr>
      <w:r>
        <w:rPr>
          <w:rFonts w:ascii="Bookman Old Style" w:hAnsi="Bookman Old Style"/>
        </w:rPr>
        <w:t xml:space="preserve">Obviously, Nigeria has earned substantial </w:t>
      </w:r>
      <w:r w:rsidRPr="00FB6273">
        <w:rPr>
          <w:rFonts w:ascii="Bookman Old Style" w:hAnsi="Bookman Old Style"/>
        </w:rPr>
        <w:t>revenue from t</w:t>
      </w:r>
      <w:r>
        <w:rPr>
          <w:rFonts w:ascii="Bookman Old Style" w:hAnsi="Bookman Old Style"/>
        </w:rPr>
        <w:t xml:space="preserve">he oil sector since independence but </w:t>
      </w:r>
      <w:r w:rsidRPr="00FB6273">
        <w:rPr>
          <w:rFonts w:ascii="Bookman Old Style" w:hAnsi="Bookman Old Style"/>
        </w:rPr>
        <w:t>failed to see bey</w:t>
      </w:r>
      <w:r>
        <w:rPr>
          <w:rFonts w:ascii="Bookman Old Style" w:hAnsi="Bookman Old Style"/>
        </w:rPr>
        <w:t xml:space="preserve">ond the immediate and expand its </w:t>
      </w:r>
      <w:r w:rsidRPr="00FB6273">
        <w:rPr>
          <w:rFonts w:ascii="Bookman Old Style" w:hAnsi="Bookman Old Style"/>
        </w:rPr>
        <w:t>revenue strea</w:t>
      </w:r>
      <w:r>
        <w:rPr>
          <w:rFonts w:ascii="Bookman Old Style" w:hAnsi="Bookman Old Style"/>
        </w:rPr>
        <w:t xml:space="preserve">ms into other sectors where there lies comparative advantage. The </w:t>
      </w:r>
      <w:r w:rsidRPr="00FB6273">
        <w:rPr>
          <w:rFonts w:ascii="Bookman Old Style" w:hAnsi="Bookman Old Style"/>
        </w:rPr>
        <w:t>agriculture and solid minerals</w:t>
      </w:r>
      <w:r>
        <w:rPr>
          <w:rFonts w:ascii="Bookman Old Style" w:hAnsi="Bookman Old Style"/>
        </w:rPr>
        <w:t xml:space="preserve"> sectors, </w:t>
      </w:r>
      <w:r w:rsidRPr="00FB6273">
        <w:rPr>
          <w:rFonts w:ascii="Bookman Old Style" w:hAnsi="Bookman Old Style"/>
        </w:rPr>
        <w:t>our non-oil export witnessed neglect from both the private and publ</w:t>
      </w:r>
      <w:r>
        <w:rPr>
          <w:rFonts w:ascii="Bookman Old Style" w:hAnsi="Bookman Old Style"/>
        </w:rPr>
        <w:t>ic sector, this is has been confirmed by</w:t>
      </w:r>
      <w:r w:rsidRPr="00FB6273">
        <w:rPr>
          <w:rFonts w:ascii="Bookman Old Style" w:hAnsi="Bookman Old Style"/>
        </w:rPr>
        <w:t xml:space="preserve"> investment inflows into the oil sector as against inflows into the non-oil sector.</w:t>
      </w:r>
    </w:p>
    <w:p w14:paraId="4455782E" w14:textId="77777777" w:rsidR="00493D7A" w:rsidRPr="00FB6273" w:rsidRDefault="00493D7A" w:rsidP="00493D7A">
      <w:pPr>
        <w:spacing w:after="0" w:line="240" w:lineRule="auto"/>
        <w:jc w:val="both"/>
        <w:rPr>
          <w:rFonts w:ascii="Bookman Old Style" w:hAnsi="Bookman Old Style"/>
        </w:rPr>
      </w:pPr>
    </w:p>
    <w:p w14:paraId="1DF062D7" w14:textId="77777777" w:rsidR="00493D7A" w:rsidRDefault="00493D7A" w:rsidP="00493D7A">
      <w:pPr>
        <w:spacing w:after="0" w:line="240" w:lineRule="auto"/>
        <w:jc w:val="both"/>
        <w:rPr>
          <w:rFonts w:ascii="Bookman Old Style" w:hAnsi="Bookman Old Style"/>
        </w:rPr>
      </w:pPr>
      <w:r>
        <w:rPr>
          <w:rFonts w:ascii="Bookman Old Style" w:hAnsi="Bookman Old Style"/>
        </w:rPr>
        <w:t>Unfortunately, oil price in international market fell precipitously</w:t>
      </w:r>
      <w:r w:rsidRPr="00E23EF4">
        <w:rPr>
          <w:rFonts w:ascii="Bookman Old Style" w:hAnsi="Bookman Old Style"/>
        </w:rPr>
        <w:t xml:space="preserve"> to less than US$30 a barrel in 2016</w:t>
      </w:r>
      <w:r>
        <w:rPr>
          <w:rFonts w:ascii="Bookman Old Style" w:hAnsi="Bookman Old Style"/>
        </w:rPr>
        <w:t>,</w:t>
      </w:r>
      <w:r w:rsidRPr="00E23EF4">
        <w:rPr>
          <w:rFonts w:ascii="Bookman Old Style" w:hAnsi="Bookman Old Style"/>
        </w:rPr>
        <w:t xml:space="preserve"> in c</w:t>
      </w:r>
      <w:r>
        <w:rPr>
          <w:rFonts w:ascii="Bookman Old Style" w:hAnsi="Bookman Old Style"/>
        </w:rPr>
        <w:t>ontinuation of cascading price</w:t>
      </w:r>
      <w:r w:rsidRPr="00E23EF4">
        <w:rPr>
          <w:rFonts w:ascii="Bookman Old Style" w:hAnsi="Bookman Old Style"/>
        </w:rPr>
        <w:t xml:space="preserve"> that started in 2014. Consequently, oil revenue receipts fell by almost 50%. The precarious situations triggered </w:t>
      </w:r>
      <w:r>
        <w:rPr>
          <w:rFonts w:ascii="Bookman Old Style" w:hAnsi="Bookman Old Style"/>
        </w:rPr>
        <w:t xml:space="preserve">multi-dimensional </w:t>
      </w:r>
      <w:r w:rsidRPr="00E23EF4">
        <w:rPr>
          <w:rFonts w:ascii="Bookman Old Style" w:hAnsi="Bookman Old Style"/>
        </w:rPr>
        <w:t>so</w:t>
      </w:r>
      <w:r>
        <w:rPr>
          <w:rFonts w:ascii="Bookman Old Style" w:hAnsi="Bookman Old Style"/>
        </w:rPr>
        <w:t>cio-economic crisis</w:t>
      </w:r>
      <w:r w:rsidRPr="00E23EF4">
        <w:rPr>
          <w:rFonts w:ascii="Bookman Old Style" w:hAnsi="Bookman Old Style"/>
        </w:rPr>
        <w:t xml:space="preserve">. As oil revenue continue to suffer, the external reserve declined </w:t>
      </w:r>
      <w:r>
        <w:rPr>
          <w:rFonts w:ascii="Bookman Old Style" w:hAnsi="Bookman Old Style"/>
        </w:rPr>
        <w:t xml:space="preserve">to </w:t>
      </w:r>
      <w:r w:rsidRPr="00E23EF4">
        <w:rPr>
          <w:rFonts w:ascii="Bookman Old Style" w:hAnsi="Bookman Old Style"/>
        </w:rPr>
        <w:t>below US$25 billion, and the apex bank could no longer defend the naira. After tremendous pressure</w:t>
      </w:r>
      <w:r>
        <w:rPr>
          <w:rFonts w:ascii="Bookman Old Style" w:hAnsi="Bookman Old Style"/>
        </w:rPr>
        <w:t xml:space="preserve"> on the apex</w:t>
      </w:r>
      <w:r w:rsidRPr="00E23EF4">
        <w:rPr>
          <w:rFonts w:ascii="Bookman Old Style" w:hAnsi="Bookman Old Style"/>
        </w:rPr>
        <w:t xml:space="preserve">, CBN introduced a floated </w:t>
      </w:r>
      <w:r>
        <w:rPr>
          <w:rFonts w:ascii="Bookman Old Style" w:hAnsi="Bookman Old Style"/>
        </w:rPr>
        <w:t xml:space="preserve">FX </w:t>
      </w:r>
      <w:r w:rsidRPr="00E23EF4">
        <w:rPr>
          <w:rFonts w:ascii="Bookman Old Style" w:hAnsi="Bookman Old Style"/>
        </w:rPr>
        <w:t xml:space="preserve">system coupled with other interventions to enhance the value of the naira, unfortunately, the naira continue to suffer </w:t>
      </w:r>
      <w:r>
        <w:rPr>
          <w:rFonts w:ascii="Bookman Old Style" w:hAnsi="Bookman Old Style"/>
        </w:rPr>
        <w:t xml:space="preserve">serial </w:t>
      </w:r>
      <w:r w:rsidRPr="00E23EF4">
        <w:rPr>
          <w:rFonts w:ascii="Bookman Old Style" w:hAnsi="Bookman Old Style"/>
        </w:rPr>
        <w:t>attack</w:t>
      </w:r>
      <w:r>
        <w:rPr>
          <w:rFonts w:ascii="Bookman Old Style" w:hAnsi="Bookman Old Style"/>
        </w:rPr>
        <w:t>s</w:t>
      </w:r>
      <w:r w:rsidRPr="00E23EF4">
        <w:rPr>
          <w:rFonts w:ascii="Bookman Old Style" w:hAnsi="Bookman Old Style"/>
        </w:rPr>
        <w:t xml:space="preserve">. The greenback became more scarce and the naira depreciated continuously at the parallel market segment. </w:t>
      </w:r>
    </w:p>
    <w:p w14:paraId="2A0C9BB0" w14:textId="77777777" w:rsidR="00493D7A" w:rsidRDefault="00493D7A" w:rsidP="00493D7A">
      <w:pPr>
        <w:spacing w:after="0" w:line="240" w:lineRule="auto"/>
        <w:jc w:val="both"/>
        <w:rPr>
          <w:rFonts w:ascii="Bookman Old Style" w:hAnsi="Bookman Old Style"/>
        </w:rPr>
      </w:pPr>
    </w:p>
    <w:p w14:paraId="40BD70A6" w14:textId="77777777" w:rsidR="00493D7A" w:rsidRDefault="00493D7A" w:rsidP="00493D7A">
      <w:pPr>
        <w:spacing w:after="0" w:line="240" w:lineRule="auto"/>
        <w:jc w:val="both"/>
        <w:rPr>
          <w:rFonts w:ascii="Bookman Old Style" w:hAnsi="Bookman Old Style"/>
        </w:rPr>
      </w:pPr>
      <w:r>
        <w:rPr>
          <w:rFonts w:ascii="Bookman Old Style" w:hAnsi="Bookman Old Style"/>
        </w:rPr>
        <w:t xml:space="preserve">Against this backdrop, </w:t>
      </w:r>
      <w:r w:rsidRPr="00E23EF4">
        <w:rPr>
          <w:rFonts w:ascii="Bookman Old Style" w:hAnsi="Bookman Old Style"/>
        </w:rPr>
        <w:t>Nigeria's real Gross Domestic Product (GDP) contracted by 1.6</w:t>
      </w:r>
      <w:r>
        <w:rPr>
          <w:rFonts w:ascii="Bookman Old Style" w:hAnsi="Bookman Old Style"/>
        </w:rPr>
        <w:t>% in 2016, a far cry from 2.76</w:t>
      </w:r>
      <w:r w:rsidRPr="00E23EF4">
        <w:rPr>
          <w:rFonts w:ascii="Bookman Old Style" w:hAnsi="Bookman Old Style"/>
        </w:rPr>
        <w:t>% growth rate re</w:t>
      </w:r>
      <w:r>
        <w:rPr>
          <w:rFonts w:ascii="Bookman Old Style" w:hAnsi="Bookman Old Style"/>
        </w:rPr>
        <w:t>corded in 2015. Thus, the economy plunge into</w:t>
      </w:r>
      <w:r w:rsidRPr="00E23EF4">
        <w:rPr>
          <w:rFonts w:ascii="Bookman Old Style" w:hAnsi="Bookman Old Style"/>
        </w:rPr>
        <w:t xml:space="preserve"> stagflation </w:t>
      </w:r>
      <w:r>
        <w:rPr>
          <w:rFonts w:ascii="Bookman Old Style" w:hAnsi="Bookman Old Style"/>
        </w:rPr>
        <w:t xml:space="preserve">with inflation rising to 18.6% followed by increasing </w:t>
      </w:r>
      <w:r w:rsidRPr="00E23EF4">
        <w:rPr>
          <w:rFonts w:ascii="Bookman Old Style" w:hAnsi="Bookman Old Style"/>
        </w:rPr>
        <w:t>unemployment and und</w:t>
      </w:r>
      <w:r>
        <w:rPr>
          <w:rFonts w:ascii="Bookman Old Style" w:hAnsi="Bookman Old Style"/>
        </w:rPr>
        <w:t>eremployment</w:t>
      </w:r>
      <w:r w:rsidRPr="00E23EF4">
        <w:rPr>
          <w:rFonts w:ascii="Bookman Old Style" w:hAnsi="Bookman Old Style"/>
        </w:rPr>
        <w:t xml:space="preserve"> at 13.9% and 19.7% respectively. Foreign trade performance was discouraging as value of exports decreased by </w:t>
      </w:r>
      <w:r w:rsidRPr="00E23EF4">
        <w:rPr>
          <w:rFonts w:ascii="Times New Roman" w:hAnsi="Times New Roman" w:cs="Times New Roman"/>
        </w:rPr>
        <w:t>₦</w:t>
      </w:r>
      <w:r w:rsidRPr="00E23EF4">
        <w:rPr>
          <w:rFonts w:ascii="Bookman Old Style" w:hAnsi="Bookman Old Style"/>
        </w:rPr>
        <w:t>24.4 billio</w:t>
      </w:r>
      <w:r>
        <w:rPr>
          <w:rFonts w:ascii="Bookman Old Style" w:hAnsi="Bookman Old Style"/>
        </w:rPr>
        <w:t xml:space="preserve">n or 1.0% in the third quarter 2016 coupled with attendant trade deficit. The worrisome dimension however is that crude oil remains the mainstay of our export constituting </w:t>
      </w:r>
      <w:r w:rsidRPr="00E23EF4">
        <w:rPr>
          <w:rFonts w:ascii="Bookman Old Style" w:hAnsi="Bookman Old Style"/>
        </w:rPr>
        <w:t xml:space="preserve">about 84% of </w:t>
      </w:r>
      <w:r>
        <w:rPr>
          <w:rFonts w:ascii="Bookman Old Style" w:hAnsi="Bookman Old Style"/>
        </w:rPr>
        <w:t xml:space="preserve">our </w:t>
      </w:r>
      <w:r w:rsidRPr="00E23EF4">
        <w:rPr>
          <w:rFonts w:ascii="Bookman Old Style" w:hAnsi="Bookman Old Style"/>
        </w:rPr>
        <w:t xml:space="preserve">total exports. </w:t>
      </w:r>
      <w:r w:rsidRPr="00416C82">
        <w:rPr>
          <w:rFonts w:ascii="Bookman Old Style" w:hAnsi="Bookman Old Style"/>
        </w:rPr>
        <w:t>The Nigerian economy has remained one with huge potential beyond oil and will no doubt improve on all fronts should we look beyond oil and take deliberate steps to improve our fortunes from the non-oil sector via putting in place the right structures, policies, investments and drive essential to improving our non-oil revenue earnings.</w:t>
      </w:r>
    </w:p>
    <w:p w14:paraId="3E97759C" w14:textId="77777777" w:rsidR="00493D7A" w:rsidRDefault="00493D7A" w:rsidP="00493D7A">
      <w:pPr>
        <w:spacing w:after="0" w:line="240" w:lineRule="auto"/>
        <w:jc w:val="both"/>
        <w:rPr>
          <w:rFonts w:ascii="Bookman Old Style" w:hAnsi="Bookman Old Style"/>
        </w:rPr>
      </w:pPr>
    </w:p>
    <w:p w14:paraId="5387AB53" w14:textId="77777777" w:rsidR="00493D7A" w:rsidRDefault="00493D7A" w:rsidP="00493D7A">
      <w:pPr>
        <w:spacing w:after="0" w:line="240" w:lineRule="auto"/>
        <w:jc w:val="both"/>
        <w:rPr>
          <w:rFonts w:ascii="Bookman Old Style" w:hAnsi="Bookman Old Style"/>
        </w:rPr>
      </w:pPr>
      <w:r>
        <w:rPr>
          <w:rFonts w:ascii="Bookman Old Style" w:hAnsi="Bookman Old Style"/>
        </w:rPr>
        <w:t>In an effort to redirect our path and change the narratives, the</w:t>
      </w:r>
      <w:r w:rsidRPr="00E23EF4">
        <w:rPr>
          <w:rFonts w:ascii="Bookman Old Style" w:hAnsi="Bookman Old Style"/>
        </w:rPr>
        <w:t xml:space="preserve"> federal government embark on diversification agenda, to reduce the dependence of the economy on oil and build buffer aga</w:t>
      </w:r>
      <w:r>
        <w:rPr>
          <w:rFonts w:ascii="Bookman Old Style" w:hAnsi="Bookman Old Style"/>
        </w:rPr>
        <w:t xml:space="preserve">inst external shocks, price volatility and </w:t>
      </w:r>
      <w:r w:rsidRPr="00E23EF4">
        <w:rPr>
          <w:rFonts w:ascii="Bookman Old Style" w:hAnsi="Bookman Old Style"/>
        </w:rPr>
        <w:t xml:space="preserve">aftermath of oil glut. </w:t>
      </w:r>
      <w:r>
        <w:rPr>
          <w:rFonts w:ascii="Bookman Old Style" w:hAnsi="Bookman Old Style"/>
        </w:rPr>
        <w:t xml:space="preserve">At the heart of the </w:t>
      </w:r>
      <w:r w:rsidRPr="00E23EF4">
        <w:rPr>
          <w:rFonts w:ascii="Bookman Old Style" w:hAnsi="Bookman Old Style"/>
        </w:rPr>
        <w:t>economic diversification</w:t>
      </w:r>
      <w:r>
        <w:rPr>
          <w:rFonts w:ascii="Bookman Old Style" w:hAnsi="Bookman Old Style"/>
        </w:rPr>
        <w:t xml:space="preserve"> agenda, is self-sufficiency enhancement and </w:t>
      </w:r>
      <w:r w:rsidRPr="00E23EF4">
        <w:rPr>
          <w:rFonts w:ascii="Bookman Old Style" w:hAnsi="Bookman Old Style"/>
        </w:rPr>
        <w:t>export push</w:t>
      </w:r>
      <w:r>
        <w:rPr>
          <w:rFonts w:ascii="Bookman Old Style" w:hAnsi="Bookman Old Style"/>
        </w:rPr>
        <w:t xml:space="preserve"> strategy</w:t>
      </w:r>
      <w:r w:rsidRPr="00E23EF4">
        <w:rPr>
          <w:rFonts w:ascii="Bookman Old Style" w:hAnsi="Bookman Old Style"/>
        </w:rPr>
        <w:t xml:space="preserve">. </w:t>
      </w:r>
    </w:p>
    <w:p w14:paraId="16C47E33" w14:textId="77777777" w:rsidR="00493D7A" w:rsidRDefault="00493D7A" w:rsidP="00493D7A">
      <w:pPr>
        <w:spacing w:after="0" w:line="240" w:lineRule="auto"/>
        <w:jc w:val="both"/>
        <w:rPr>
          <w:rFonts w:ascii="Bookman Old Style" w:hAnsi="Bookman Old Style"/>
        </w:rPr>
      </w:pPr>
    </w:p>
    <w:p w14:paraId="0B2A2559" w14:textId="77777777" w:rsidR="00493D7A" w:rsidRPr="005D6CD5" w:rsidRDefault="00493D7A" w:rsidP="00493D7A">
      <w:pPr>
        <w:spacing w:after="0" w:line="240" w:lineRule="auto"/>
        <w:jc w:val="both"/>
        <w:rPr>
          <w:rFonts w:ascii="Bookman Old Style" w:hAnsi="Bookman Old Style"/>
          <w:b/>
        </w:rPr>
      </w:pPr>
      <w:r w:rsidRPr="005D6CD5">
        <w:rPr>
          <w:rFonts w:ascii="Bookman Old Style" w:hAnsi="Bookman Old Style"/>
          <w:b/>
        </w:rPr>
        <w:t>1.1</w:t>
      </w:r>
      <w:r w:rsidRPr="005D6CD5">
        <w:rPr>
          <w:rFonts w:ascii="Bookman Old Style" w:hAnsi="Bookman Old Style"/>
          <w:b/>
        </w:rPr>
        <w:tab/>
        <w:t>The Zero Oil Plan</w:t>
      </w:r>
    </w:p>
    <w:p w14:paraId="6AE7915C" w14:textId="77777777" w:rsidR="00493D7A" w:rsidRPr="00302768" w:rsidRDefault="00493D7A" w:rsidP="00493D7A">
      <w:pPr>
        <w:spacing w:after="0" w:line="240" w:lineRule="auto"/>
        <w:jc w:val="both"/>
        <w:rPr>
          <w:rFonts w:ascii="Bookman Old Style" w:hAnsi="Bookman Old Style"/>
        </w:rPr>
      </w:pPr>
      <w:r>
        <w:rPr>
          <w:rFonts w:ascii="Bookman Old Style" w:hAnsi="Bookman Old Style"/>
        </w:rPr>
        <w:lastRenderedPageBreak/>
        <w:t xml:space="preserve">In this view, the Nigerian Export Promotion Council (NEPC) </w:t>
      </w:r>
      <w:r w:rsidRPr="00302768">
        <w:rPr>
          <w:rFonts w:ascii="Bookman Old Style" w:hAnsi="Bookman Old Style"/>
        </w:rPr>
        <w:t>launched the Zero Oil Plan in October 2016 with the following objectives;</w:t>
      </w:r>
    </w:p>
    <w:p w14:paraId="50C061F1" w14:textId="77777777" w:rsidR="00493D7A" w:rsidRDefault="00493D7A" w:rsidP="00493D7A">
      <w:pPr>
        <w:pStyle w:val="ListParagraph"/>
        <w:numPr>
          <w:ilvl w:val="0"/>
          <w:numId w:val="1"/>
        </w:numPr>
        <w:spacing w:after="0" w:line="240" w:lineRule="auto"/>
        <w:jc w:val="both"/>
        <w:rPr>
          <w:rFonts w:ascii="Bookman Old Style" w:hAnsi="Bookman Old Style"/>
        </w:rPr>
      </w:pPr>
      <w:r w:rsidRPr="006A048F">
        <w:rPr>
          <w:rFonts w:ascii="Bookman Old Style" w:hAnsi="Bookman Old Style"/>
        </w:rPr>
        <w:t>To grow foreign reserves to exceed $150 million over the next decade from non-oil exports alone;</w:t>
      </w:r>
    </w:p>
    <w:p w14:paraId="7F7A4D90" w14:textId="77777777" w:rsidR="00493D7A" w:rsidRDefault="00493D7A" w:rsidP="00493D7A">
      <w:pPr>
        <w:pStyle w:val="ListParagraph"/>
        <w:numPr>
          <w:ilvl w:val="0"/>
          <w:numId w:val="1"/>
        </w:numPr>
        <w:spacing w:after="0" w:line="240" w:lineRule="auto"/>
        <w:jc w:val="both"/>
        <w:rPr>
          <w:rFonts w:ascii="Bookman Old Style" w:hAnsi="Bookman Old Style"/>
        </w:rPr>
      </w:pPr>
      <w:r w:rsidRPr="006A048F">
        <w:rPr>
          <w:rFonts w:ascii="Bookman Old Style" w:hAnsi="Bookman Old Style"/>
        </w:rPr>
        <w:t>To create 500,000 additional export based jobs annually; and</w:t>
      </w:r>
    </w:p>
    <w:p w14:paraId="11FE868D" w14:textId="77777777" w:rsidR="00493D7A" w:rsidRPr="006A048F" w:rsidRDefault="00493D7A" w:rsidP="00493D7A">
      <w:pPr>
        <w:pStyle w:val="ListParagraph"/>
        <w:numPr>
          <w:ilvl w:val="0"/>
          <w:numId w:val="1"/>
        </w:numPr>
        <w:spacing w:after="0" w:line="240" w:lineRule="auto"/>
        <w:jc w:val="both"/>
        <w:rPr>
          <w:rFonts w:ascii="Bookman Old Style" w:hAnsi="Bookman Old Style"/>
        </w:rPr>
      </w:pPr>
      <w:r>
        <w:rPr>
          <w:rFonts w:ascii="Bookman Old Style" w:hAnsi="Bookman Old Style"/>
        </w:rPr>
        <w:t>Get</w:t>
      </w:r>
      <w:r w:rsidRPr="006A048F">
        <w:rPr>
          <w:rFonts w:ascii="Bookman Old Style" w:hAnsi="Bookman Old Style"/>
        </w:rPr>
        <w:t xml:space="preserve"> at least 10</w:t>
      </w:r>
      <w:r>
        <w:rPr>
          <w:rFonts w:ascii="Bookman Old Style" w:hAnsi="Bookman Old Style"/>
        </w:rPr>
        <w:t xml:space="preserve"> </w:t>
      </w:r>
      <w:r w:rsidRPr="006A048F">
        <w:rPr>
          <w:rFonts w:ascii="Bookman Old Style" w:hAnsi="Bookman Old Style"/>
        </w:rPr>
        <w:t>m</w:t>
      </w:r>
      <w:r>
        <w:rPr>
          <w:rFonts w:ascii="Bookman Old Style" w:hAnsi="Bookman Old Style"/>
        </w:rPr>
        <w:t>illion</w:t>
      </w:r>
      <w:r w:rsidRPr="006A048F">
        <w:rPr>
          <w:rFonts w:ascii="Bookman Old Style" w:hAnsi="Bookman Old Style"/>
        </w:rPr>
        <w:t xml:space="preserve"> Nigerians out of poverty in the next decade from export activities alone. </w:t>
      </w:r>
    </w:p>
    <w:p w14:paraId="6C7C7ECD" w14:textId="77777777" w:rsidR="00493D7A" w:rsidRDefault="00493D7A" w:rsidP="00493D7A">
      <w:pPr>
        <w:spacing w:after="0" w:line="240" w:lineRule="auto"/>
        <w:jc w:val="both"/>
        <w:rPr>
          <w:rFonts w:ascii="Bookman Old Style" w:hAnsi="Bookman Old Style"/>
        </w:rPr>
      </w:pPr>
    </w:p>
    <w:p w14:paraId="7F19656C" w14:textId="77777777" w:rsidR="00493D7A" w:rsidRDefault="00493D7A" w:rsidP="00493D7A">
      <w:pPr>
        <w:spacing w:after="0" w:line="240" w:lineRule="auto"/>
        <w:jc w:val="both"/>
        <w:rPr>
          <w:rFonts w:ascii="Bookman Old Style" w:hAnsi="Bookman Old Style"/>
        </w:rPr>
      </w:pPr>
      <w:r>
        <w:rPr>
          <w:rFonts w:ascii="Bookman Old Style" w:hAnsi="Bookman Old Style"/>
        </w:rPr>
        <w:t xml:space="preserve">The </w:t>
      </w:r>
      <w:r w:rsidRPr="00D774BA">
        <w:rPr>
          <w:rFonts w:ascii="Bookman Old Style" w:hAnsi="Bookman Old Style"/>
        </w:rPr>
        <w:t>“Zero O</w:t>
      </w:r>
      <w:r>
        <w:rPr>
          <w:rFonts w:ascii="Bookman Old Style" w:hAnsi="Bookman Old Style"/>
        </w:rPr>
        <w:t xml:space="preserve">il” plan seen as the first </w:t>
      </w:r>
      <w:r w:rsidRPr="00D774BA">
        <w:rPr>
          <w:rFonts w:ascii="Bookman Old Style" w:hAnsi="Bookman Old Style"/>
        </w:rPr>
        <w:t xml:space="preserve">coherent agenda to mobilize public and private resources towards replacing oil as major source of foreign exchange. The plan articulates by carefully selecting priority sectors, sectors that have the potential to galvanise sufficient income. Through </w:t>
      </w:r>
      <w:r>
        <w:rPr>
          <w:rFonts w:ascii="Bookman Old Style" w:hAnsi="Bookman Old Style"/>
        </w:rPr>
        <w:t>a carefully</w:t>
      </w:r>
      <w:r w:rsidRPr="00D774BA">
        <w:rPr>
          <w:rFonts w:ascii="Bookman Old Style" w:hAnsi="Bookman Old Style"/>
        </w:rPr>
        <w:t xml:space="preserve"> </w:t>
      </w:r>
      <w:r>
        <w:rPr>
          <w:rFonts w:ascii="Bookman Old Style" w:hAnsi="Bookman Old Style"/>
        </w:rPr>
        <w:t xml:space="preserve">regional and product </w:t>
      </w:r>
      <w:r w:rsidRPr="00D774BA">
        <w:rPr>
          <w:rFonts w:ascii="Bookman Old Style" w:hAnsi="Bookman Old Style"/>
        </w:rPr>
        <w:t xml:space="preserve">mapping, Nigeria is set to gain a minimum 5% share over the next ten years in the following commodities: Petrochemicals &amp; Methanol, Soyabeans, and Soyabeans Meal and Oil, Sugar (raw, cane, and confectionary), Cotton and Yarn, Nitrogenous Fertilizer and Ammonia, Palm Oil, Rice, Rubber, Hides and Leather, Cocoa (beans, paste, butter, powder), and 0.5% share in Gold. </w:t>
      </w:r>
    </w:p>
    <w:p w14:paraId="0C54D041" w14:textId="77777777" w:rsidR="00493D7A" w:rsidRDefault="00493D7A" w:rsidP="00493D7A">
      <w:pPr>
        <w:spacing w:after="0" w:line="240" w:lineRule="auto"/>
        <w:jc w:val="both"/>
        <w:rPr>
          <w:rFonts w:ascii="Bookman Old Style" w:hAnsi="Bookman Old Style"/>
        </w:rPr>
      </w:pPr>
    </w:p>
    <w:p w14:paraId="2CC6165F" w14:textId="77777777" w:rsidR="00493D7A" w:rsidRDefault="00493D7A" w:rsidP="00493D7A">
      <w:pPr>
        <w:spacing w:after="0" w:line="240" w:lineRule="auto"/>
        <w:jc w:val="both"/>
        <w:rPr>
          <w:rFonts w:ascii="Bookman Old Style" w:hAnsi="Bookman Old Style"/>
        </w:rPr>
      </w:pPr>
      <w:r>
        <w:rPr>
          <w:rFonts w:ascii="Bookman Old Style" w:hAnsi="Bookman Old Style"/>
        </w:rPr>
        <w:t>Specifically, t</w:t>
      </w:r>
      <w:r w:rsidRPr="00A05866">
        <w:rPr>
          <w:rFonts w:ascii="Bookman Old Style" w:hAnsi="Bookman Old Style"/>
        </w:rPr>
        <w:t>he crop focus for th</w:t>
      </w:r>
      <w:r>
        <w:rPr>
          <w:rFonts w:ascii="Bookman Old Style" w:hAnsi="Bookman Old Style"/>
        </w:rPr>
        <w:t xml:space="preserve">e zero oil plan were listed as </w:t>
      </w:r>
    </w:p>
    <w:p w14:paraId="4654FC4C" w14:textId="77777777" w:rsidR="00493D7A" w:rsidRDefault="00493D7A" w:rsidP="00493D7A">
      <w:pPr>
        <w:pStyle w:val="ListParagraph"/>
        <w:numPr>
          <w:ilvl w:val="0"/>
          <w:numId w:val="2"/>
        </w:numPr>
        <w:spacing w:after="0" w:line="240" w:lineRule="auto"/>
        <w:jc w:val="both"/>
        <w:rPr>
          <w:rFonts w:ascii="Bookman Old Style" w:hAnsi="Bookman Old Style"/>
        </w:rPr>
      </w:pPr>
      <w:r w:rsidRPr="00410168">
        <w:rPr>
          <w:rFonts w:ascii="Bookman Old Style" w:hAnsi="Bookman Old Style"/>
        </w:rPr>
        <w:t xml:space="preserve">Palm oil </w:t>
      </w:r>
    </w:p>
    <w:p w14:paraId="455FDBE1" w14:textId="77777777" w:rsidR="00493D7A" w:rsidRDefault="00493D7A" w:rsidP="00493D7A">
      <w:pPr>
        <w:pStyle w:val="ListParagraph"/>
        <w:numPr>
          <w:ilvl w:val="0"/>
          <w:numId w:val="2"/>
        </w:numPr>
        <w:spacing w:after="0" w:line="240" w:lineRule="auto"/>
        <w:jc w:val="both"/>
        <w:rPr>
          <w:rFonts w:ascii="Bookman Old Style" w:hAnsi="Bookman Old Style"/>
        </w:rPr>
      </w:pPr>
      <w:r w:rsidRPr="00410168">
        <w:rPr>
          <w:rFonts w:ascii="Bookman Old Style" w:hAnsi="Bookman Old Style"/>
        </w:rPr>
        <w:t>Cocoa</w:t>
      </w:r>
    </w:p>
    <w:p w14:paraId="098332A3" w14:textId="77777777" w:rsidR="00493D7A" w:rsidRDefault="00493D7A" w:rsidP="00493D7A">
      <w:pPr>
        <w:pStyle w:val="ListParagraph"/>
        <w:numPr>
          <w:ilvl w:val="0"/>
          <w:numId w:val="2"/>
        </w:numPr>
        <w:spacing w:after="0" w:line="240" w:lineRule="auto"/>
        <w:jc w:val="both"/>
        <w:rPr>
          <w:rFonts w:ascii="Bookman Old Style" w:hAnsi="Bookman Old Style"/>
        </w:rPr>
      </w:pPr>
      <w:r w:rsidRPr="00410168">
        <w:rPr>
          <w:rFonts w:ascii="Bookman Old Style" w:hAnsi="Bookman Old Style"/>
        </w:rPr>
        <w:t>Cotton</w:t>
      </w:r>
    </w:p>
    <w:p w14:paraId="093A6046" w14:textId="77777777" w:rsidR="00493D7A" w:rsidRDefault="00493D7A" w:rsidP="00493D7A">
      <w:pPr>
        <w:pStyle w:val="ListParagraph"/>
        <w:numPr>
          <w:ilvl w:val="0"/>
          <w:numId w:val="2"/>
        </w:numPr>
        <w:spacing w:after="0" w:line="240" w:lineRule="auto"/>
        <w:jc w:val="both"/>
        <w:rPr>
          <w:rFonts w:ascii="Bookman Old Style" w:hAnsi="Bookman Old Style"/>
        </w:rPr>
      </w:pPr>
      <w:r w:rsidRPr="00410168">
        <w:rPr>
          <w:rFonts w:ascii="Bookman Old Style" w:hAnsi="Bookman Old Style"/>
        </w:rPr>
        <w:t>Leather</w:t>
      </w:r>
    </w:p>
    <w:p w14:paraId="1F8C14BB" w14:textId="77777777" w:rsidR="00493D7A" w:rsidRDefault="00493D7A" w:rsidP="00493D7A">
      <w:pPr>
        <w:pStyle w:val="ListParagraph"/>
        <w:numPr>
          <w:ilvl w:val="0"/>
          <w:numId w:val="2"/>
        </w:numPr>
        <w:spacing w:after="0" w:line="240" w:lineRule="auto"/>
        <w:jc w:val="both"/>
        <w:rPr>
          <w:rFonts w:ascii="Bookman Old Style" w:hAnsi="Bookman Old Style"/>
        </w:rPr>
      </w:pPr>
      <w:r w:rsidRPr="00410168">
        <w:rPr>
          <w:rFonts w:ascii="Bookman Old Style" w:hAnsi="Bookman Old Style"/>
        </w:rPr>
        <w:t>Petro Chemicals</w:t>
      </w:r>
    </w:p>
    <w:p w14:paraId="5C03FF5B" w14:textId="77777777" w:rsidR="00493D7A" w:rsidRDefault="00493D7A" w:rsidP="00493D7A">
      <w:pPr>
        <w:pStyle w:val="ListParagraph"/>
        <w:numPr>
          <w:ilvl w:val="0"/>
          <w:numId w:val="2"/>
        </w:numPr>
        <w:spacing w:after="0" w:line="240" w:lineRule="auto"/>
        <w:jc w:val="both"/>
        <w:rPr>
          <w:rFonts w:ascii="Bookman Old Style" w:hAnsi="Bookman Old Style"/>
        </w:rPr>
      </w:pPr>
      <w:r w:rsidRPr="00410168">
        <w:rPr>
          <w:rFonts w:ascii="Bookman Old Style" w:hAnsi="Bookman Old Style"/>
        </w:rPr>
        <w:t>Nitrogenous Fertilizer</w:t>
      </w:r>
    </w:p>
    <w:p w14:paraId="20683375" w14:textId="77777777" w:rsidR="00493D7A" w:rsidRDefault="00493D7A" w:rsidP="00493D7A">
      <w:pPr>
        <w:pStyle w:val="ListParagraph"/>
        <w:numPr>
          <w:ilvl w:val="0"/>
          <w:numId w:val="2"/>
        </w:numPr>
        <w:spacing w:after="0" w:line="240" w:lineRule="auto"/>
        <w:jc w:val="both"/>
        <w:rPr>
          <w:rFonts w:ascii="Bookman Old Style" w:hAnsi="Bookman Old Style"/>
        </w:rPr>
      </w:pPr>
      <w:r w:rsidRPr="00410168">
        <w:rPr>
          <w:rFonts w:ascii="Bookman Old Style" w:hAnsi="Bookman Old Style"/>
        </w:rPr>
        <w:t>Cement</w:t>
      </w:r>
    </w:p>
    <w:p w14:paraId="588ACA79" w14:textId="77777777" w:rsidR="00493D7A" w:rsidRDefault="00493D7A" w:rsidP="00493D7A">
      <w:pPr>
        <w:pStyle w:val="ListParagraph"/>
        <w:numPr>
          <w:ilvl w:val="0"/>
          <w:numId w:val="2"/>
        </w:numPr>
        <w:spacing w:after="0" w:line="240" w:lineRule="auto"/>
        <w:jc w:val="both"/>
        <w:rPr>
          <w:rFonts w:ascii="Bookman Old Style" w:hAnsi="Bookman Old Style"/>
        </w:rPr>
      </w:pPr>
      <w:r w:rsidRPr="00410168">
        <w:rPr>
          <w:rFonts w:ascii="Bookman Old Style" w:hAnsi="Bookman Old Style"/>
        </w:rPr>
        <w:t>Gold</w:t>
      </w:r>
    </w:p>
    <w:p w14:paraId="5F865BEC" w14:textId="77777777" w:rsidR="00493D7A" w:rsidRDefault="00493D7A" w:rsidP="00493D7A">
      <w:pPr>
        <w:pStyle w:val="ListParagraph"/>
        <w:numPr>
          <w:ilvl w:val="0"/>
          <w:numId w:val="2"/>
        </w:numPr>
        <w:spacing w:after="0" w:line="240" w:lineRule="auto"/>
        <w:jc w:val="both"/>
        <w:rPr>
          <w:rFonts w:ascii="Bookman Old Style" w:hAnsi="Bookman Old Style"/>
        </w:rPr>
      </w:pPr>
      <w:r w:rsidRPr="00410168">
        <w:rPr>
          <w:rFonts w:ascii="Bookman Old Style" w:hAnsi="Bookman Old Style"/>
        </w:rPr>
        <w:t>Soybeans</w:t>
      </w:r>
    </w:p>
    <w:p w14:paraId="40815004" w14:textId="77777777" w:rsidR="00493D7A" w:rsidRDefault="00493D7A" w:rsidP="00493D7A">
      <w:pPr>
        <w:pStyle w:val="ListParagraph"/>
        <w:numPr>
          <w:ilvl w:val="0"/>
          <w:numId w:val="2"/>
        </w:numPr>
        <w:spacing w:after="0" w:line="240" w:lineRule="auto"/>
        <w:jc w:val="both"/>
        <w:rPr>
          <w:rFonts w:ascii="Bookman Old Style" w:hAnsi="Bookman Old Style"/>
        </w:rPr>
      </w:pPr>
      <w:r w:rsidRPr="00410168">
        <w:rPr>
          <w:rFonts w:ascii="Bookman Old Style" w:hAnsi="Bookman Old Style"/>
        </w:rPr>
        <w:t>Rubber</w:t>
      </w:r>
    </w:p>
    <w:p w14:paraId="3BE776C8" w14:textId="77777777" w:rsidR="00493D7A" w:rsidRDefault="00493D7A" w:rsidP="00493D7A">
      <w:pPr>
        <w:pStyle w:val="ListParagraph"/>
        <w:numPr>
          <w:ilvl w:val="0"/>
          <w:numId w:val="2"/>
        </w:numPr>
        <w:spacing w:after="0" w:line="240" w:lineRule="auto"/>
        <w:jc w:val="both"/>
        <w:rPr>
          <w:rFonts w:ascii="Bookman Old Style" w:hAnsi="Bookman Old Style"/>
        </w:rPr>
      </w:pPr>
      <w:r w:rsidRPr="00410168">
        <w:rPr>
          <w:rFonts w:ascii="Bookman Old Style" w:hAnsi="Bookman Old Style"/>
        </w:rPr>
        <w:t>Cashew</w:t>
      </w:r>
    </w:p>
    <w:p w14:paraId="39C49B84" w14:textId="77777777" w:rsidR="00493D7A" w:rsidRDefault="00493D7A" w:rsidP="00493D7A">
      <w:pPr>
        <w:pStyle w:val="ListParagraph"/>
        <w:numPr>
          <w:ilvl w:val="0"/>
          <w:numId w:val="2"/>
        </w:numPr>
        <w:spacing w:after="0" w:line="240" w:lineRule="auto"/>
        <w:jc w:val="both"/>
        <w:rPr>
          <w:rFonts w:ascii="Bookman Old Style" w:hAnsi="Bookman Old Style"/>
        </w:rPr>
      </w:pPr>
      <w:r w:rsidRPr="00410168">
        <w:rPr>
          <w:rFonts w:ascii="Bookman Old Style" w:hAnsi="Bookman Old Style"/>
        </w:rPr>
        <w:t>Ginger and spices</w:t>
      </w:r>
    </w:p>
    <w:p w14:paraId="468EEE05" w14:textId="77777777" w:rsidR="00493D7A" w:rsidRPr="00410168" w:rsidRDefault="00493D7A" w:rsidP="00493D7A">
      <w:pPr>
        <w:pStyle w:val="ListParagraph"/>
        <w:numPr>
          <w:ilvl w:val="0"/>
          <w:numId w:val="2"/>
        </w:numPr>
        <w:spacing w:after="0" w:line="240" w:lineRule="auto"/>
        <w:jc w:val="both"/>
        <w:rPr>
          <w:rFonts w:ascii="Bookman Old Style" w:hAnsi="Bookman Old Style"/>
        </w:rPr>
      </w:pPr>
      <w:r w:rsidRPr="00410168">
        <w:rPr>
          <w:rFonts w:ascii="Bookman Old Style" w:hAnsi="Bookman Old Style"/>
        </w:rPr>
        <w:t>Sesame seeds</w:t>
      </w:r>
    </w:p>
    <w:p w14:paraId="744E1233" w14:textId="77777777" w:rsidR="00493D7A" w:rsidRPr="00FB6273" w:rsidRDefault="00493D7A" w:rsidP="00493D7A">
      <w:pPr>
        <w:spacing w:after="0" w:line="240" w:lineRule="auto"/>
        <w:jc w:val="both"/>
        <w:rPr>
          <w:rFonts w:ascii="Bookman Old Style" w:hAnsi="Bookman Old Style"/>
        </w:rPr>
      </w:pPr>
    </w:p>
    <w:p w14:paraId="721D2D4E" w14:textId="77777777" w:rsidR="00493D7A" w:rsidRPr="00FB6273" w:rsidRDefault="00493D7A" w:rsidP="00493D7A">
      <w:pPr>
        <w:spacing w:after="0" w:line="240" w:lineRule="auto"/>
        <w:jc w:val="both"/>
        <w:rPr>
          <w:rFonts w:ascii="Bookman Old Style" w:hAnsi="Bookman Old Style"/>
        </w:rPr>
      </w:pPr>
      <w:r>
        <w:rPr>
          <w:rFonts w:ascii="Bookman Old Style" w:hAnsi="Bookman Old Style"/>
        </w:rPr>
        <w:t>After a cursory examination of the above listed crops, we observe the following shortcomings:</w:t>
      </w:r>
    </w:p>
    <w:p w14:paraId="645FF010" w14:textId="77777777" w:rsidR="00493D7A" w:rsidRDefault="00493D7A" w:rsidP="00493D7A">
      <w:pPr>
        <w:spacing w:after="0" w:line="240" w:lineRule="auto"/>
        <w:jc w:val="both"/>
        <w:rPr>
          <w:rFonts w:ascii="Bookman Old Style" w:hAnsi="Bookman Old Style"/>
        </w:rPr>
      </w:pPr>
    </w:p>
    <w:p w14:paraId="4F8970DA" w14:textId="77777777" w:rsidR="00493D7A" w:rsidRPr="00410168" w:rsidRDefault="00493D7A" w:rsidP="00493D7A">
      <w:pPr>
        <w:pStyle w:val="ListParagraph"/>
        <w:numPr>
          <w:ilvl w:val="0"/>
          <w:numId w:val="3"/>
        </w:numPr>
        <w:spacing w:after="0" w:line="240" w:lineRule="auto"/>
        <w:jc w:val="both"/>
        <w:rPr>
          <w:rFonts w:ascii="Bookman Old Style" w:hAnsi="Bookman Old Style"/>
          <w:b/>
        </w:rPr>
      </w:pPr>
      <w:r w:rsidRPr="00410168">
        <w:rPr>
          <w:rFonts w:ascii="Bookman Old Style" w:hAnsi="Bookman Old Style"/>
          <w:b/>
        </w:rPr>
        <w:t>Structural Approach</w:t>
      </w:r>
    </w:p>
    <w:p w14:paraId="66BB2945" w14:textId="77777777" w:rsidR="00493D7A" w:rsidRDefault="00493D7A" w:rsidP="00493D7A">
      <w:pPr>
        <w:spacing w:after="0" w:line="240" w:lineRule="auto"/>
        <w:jc w:val="both"/>
        <w:rPr>
          <w:rFonts w:ascii="Bookman Old Style" w:hAnsi="Bookman Old Style"/>
        </w:rPr>
      </w:pPr>
      <w:r w:rsidRPr="00FB6273">
        <w:rPr>
          <w:rFonts w:ascii="Bookman Old Style" w:hAnsi="Bookman Old Style"/>
        </w:rPr>
        <w:t>The zero oil plans success is hugely dependent on state governments validating the plan, develop requirements to drive the plan at the states and mobilize resources for its implementation across the states, thus, several months after its launch, NEPC is still waiting on state governments to carry out the assigned responsib</w:t>
      </w:r>
      <w:r>
        <w:rPr>
          <w:rFonts w:ascii="Bookman Old Style" w:hAnsi="Bookman Old Style"/>
        </w:rPr>
        <w:t xml:space="preserve">ilities for the initiative’s smooth take-off. </w:t>
      </w:r>
      <w:r w:rsidRPr="00FB6273">
        <w:rPr>
          <w:rFonts w:ascii="Bookman Old Style" w:hAnsi="Bookman Old Style"/>
        </w:rPr>
        <w:t xml:space="preserve">A far better </w:t>
      </w:r>
      <w:r>
        <w:rPr>
          <w:rFonts w:ascii="Bookman Old Style" w:hAnsi="Bookman Old Style"/>
        </w:rPr>
        <w:t xml:space="preserve">and pragmatic </w:t>
      </w:r>
      <w:r w:rsidRPr="00FB6273">
        <w:rPr>
          <w:rFonts w:ascii="Bookman Old Style" w:hAnsi="Bookman Old Style"/>
        </w:rPr>
        <w:t>approach would have been to co-create the plan with the state governments with a view to having a consensus before its adoption, this way NEPC would have launche</w:t>
      </w:r>
      <w:r>
        <w:rPr>
          <w:rFonts w:ascii="Bookman Old Style" w:hAnsi="Bookman Old Style"/>
        </w:rPr>
        <w:t>d a plan accepted across board.</w:t>
      </w:r>
    </w:p>
    <w:p w14:paraId="352B203F" w14:textId="77777777" w:rsidR="00493D7A" w:rsidRDefault="00493D7A" w:rsidP="00493D7A">
      <w:pPr>
        <w:spacing w:after="0" w:line="240" w:lineRule="auto"/>
        <w:jc w:val="both"/>
        <w:rPr>
          <w:rFonts w:ascii="Bookman Old Style" w:hAnsi="Bookman Old Style"/>
        </w:rPr>
      </w:pPr>
    </w:p>
    <w:p w14:paraId="5280E51B" w14:textId="77777777" w:rsidR="00493D7A" w:rsidRPr="00410168" w:rsidRDefault="00493D7A" w:rsidP="00493D7A">
      <w:pPr>
        <w:pStyle w:val="ListParagraph"/>
        <w:numPr>
          <w:ilvl w:val="0"/>
          <w:numId w:val="3"/>
        </w:numPr>
        <w:spacing w:after="0" w:line="240" w:lineRule="auto"/>
        <w:jc w:val="both"/>
        <w:rPr>
          <w:rFonts w:ascii="Bookman Old Style" w:hAnsi="Bookman Old Style"/>
          <w:b/>
        </w:rPr>
      </w:pPr>
      <w:r>
        <w:rPr>
          <w:rFonts w:ascii="Bookman Old Style" w:hAnsi="Bookman Old Style"/>
          <w:b/>
        </w:rPr>
        <w:t>Absence o</w:t>
      </w:r>
      <w:r w:rsidRPr="00410168">
        <w:rPr>
          <w:rFonts w:ascii="Bookman Old Style" w:hAnsi="Bookman Old Style"/>
          <w:b/>
        </w:rPr>
        <w:t>f A Needs Analysis</w:t>
      </w:r>
    </w:p>
    <w:p w14:paraId="35E21CF1" w14:textId="77777777" w:rsidR="00493D7A" w:rsidRDefault="00493D7A" w:rsidP="00493D7A">
      <w:pPr>
        <w:spacing w:after="0" w:line="240" w:lineRule="auto"/>
        <w:jc w:val="both"/>
        <w:rPr>
          <w:rFonts w:ascii="Bookman Old Style" w:hAnsi="Bookman Old Style"/>
        </w:rPr>
      </w:pPr>
      <w:r w:rsidRPr="00FB6273">
        <w:rPr>
          <w:rFonts w:ascii="Bookman Old Style" w:hAnsi="Bookman Old Style"/>
        </w:rPr>
        <w:t>The APP intends to drive up palm oil production for export by 20 mi</w:t>
      </w:r>
      <w:r>
        <w:rPr>
          <w:rFonts w:ascii="Bookman Old Style" w:hAnsi="Bookman Old Style"/>
        </w:rPr>
        <w:t xml:space="preserve">llion tons within no given time </w:t>
      </w:r>
      <w:r w:rsidRPr="00FB6273">
        <w:rPr>
          <w:rFonts w:ascii="Bookman Old Style" w:hAnsi="Bookman Old Style"/>
        </w:rPr>
        <w:t xml:space="preserve">period neither does it provide insight into what mechanisms are put or will be put in place to bring to reality this bump in </w:t>
      </w:r>
      <w:r>
        <w:rPr>
          <w:rFonts w:ascii="Bookman Old Style" w:hAnsi="Bookman Old Style"/>
        </w:rPr>
        <w:t xml:space="preserve">palm oil production for export. </w:t>
      </w:r>
    </w:p>
    <w:p w14:paraId="3E7D251D" w14:textId="77777777" w:rsidR="00493D7A" w:rsidRDefault="00493D7A" w:rsidP="00493D7A">
      <w:pPr>
        <w:spacing w:after="0" w:line="240" w:lineRule="auto"/>
        <w:jc w:val="both"/>
        <w:rPr>
          <w:rFonts w:ascii="Bookman Old Style" w:hAnsi="Bookman Old Style"/>
        </w:rPr>
      </w:pPr>
    </w:p>
    <w:p w14:paraId="6205A206" w14:textId="77777777" w:rsidR="00493D7A" w:rsidRDefault="00493D7A" w:rsidP="00493D7A">
      <w:pPr>
        <w:spacing w:after="0" w:line="240" w:lineRule="auto"/>
        <w:jc w:val="both"/>
        <w:rPr>
          <w:rFonts w:ascii="Bookman Old Style" w:hAnsi="Bookman Old Style"/>
        </w:rPr>
      </w:pPr>
      <w:r w:rsidRPr="00FB6273">
        <w:rPr>
          <w:rFonts w:ascii="Bookman Old Style" w:hAnsi="Bookman Old Style"/>
        </w:rPr>
        <w:lastRenderedPageBreak/>
        <w:t xml:space="preserve">A needs analysis of why our palm oil production both for local consumption and export has been consistently declining in the past years should have been undertaking by NEPC with a view to determining what urgent steps needs be taken to reverse the ugly trend. </w:t>
      </w:r>
    </w:p>
    <w:p w14:paraId="14AEC8D4" w14:textId="2A09A1EA" w:rsidR="00493D7A" w:rsidRDefault="00493D7A" w:rsidP="00493D7A">
      <w:pPr>
        <w:spacing w:after="0" w:line="240" w:lineRule="auto"/>
        <w:jc w:val="both"/>
        <w:rPr>
          <w:rFonts w:ascii="Bookman Old Style" w:hAnsi="Bookman Old Style"/>
        </w:rPr>
      </w:pPr>
    </w:p>
    <w:p w14:paraId="105B2B96" w14:textId="77777777" w:rsidR="00493D7A" w:rsidRPr="00410168" w:rsidRDefault="00493D7A" w:rsidP="00493D7A">
      <w:pPr>
        <w:pStyle w:val="ListParagraph"/>
        <w:numPr>
          <w:ilvl w:val="0"/>
          <w:numId w:val="3"/>
        </w:numPr>
        <w:spacing w:after="0" w:line="240" w:lineRule="auto"/>
        <w:jc w:val="both"/>
        <w:rPr>
          <w:rFonts w:ascii="Bookman Old Style" w:hAnsi="Bookman Old Style"/>
          <w:b/>
        </w:rPr>
      </w:pPr>
      <w:r>
        <w:rPr>
          <w:rFonts w:ascii="Bookman Old Style" w:hAnsi="Bookman Old Style"/>
          <w:b/>
        </w:rPr>
        <w:t>Absence of Clear Understanding o</w:t>
      </w:r>
      <w:r w:rsidRPr="00410168">
        <w:rPr>
          <w:rFonts w:ascii="Bookman Old Style" w:hAnsi="Bookman Old Style"/>
          <w:b/>
        </w:rPr>
        <w:t>f Funding Needs</w:t>
      </w:r>
    </w:p>
    <w:p w14:paraId="14A3C04F" w14:textId="77777777" w:rsidR="00493D7A" w:rsidRDefault="00493D7A" w:rsidP="00493D7A">
      <w:pPr>
        <w:spacing w:after="0" w:line="240" w:lineRule="auto"/>
        <w:jc w:val="both"/>
        <w:rPr>
          <w:rFonts w:ascii="Bookman Old Style" w:hAnsi="Bookman Old Style"/>
        </w:rPr>
      </w:pPr>
      <w:r w:rsidRPr="00FB6273">
        <w:rPr>
          <w:rFonts w:ascii="Bookman Old Style" w:hAnsi="Bookman Old Style"/>
        </w:rPr>
        <w:t xml:space="preserve">The APP projects that a budgetary allocation of between </w:t>
      </w:r>
      <w:r>
        <w:rPr>
          <w:rFonts w:ascii="Calibri" w:hAnsi="Calibri" w:cs="Calibri"/>
        </w:rPr>
        <w:t>₦</w:t>
      </w:r>
      <w:r w:rsidRPr="00FB6273">
        <w:rPr>
          <w:rFonts w:ascii="Bookman Old Style" w:hAnsi="Bookman Old Style"/>
        </w:rPr>
        <w:t>144-</w:t>
      </w:r>
      <w:r>
        <w:rPr>
          <w:rFonts w:ascii="Calibri" w:hAnsi="Calibri" w:cs="Calibri"/>
        </w:rPr>
        <w:t>₦</w:t>
      </w:r>
      <w:r w:rsidRPr="00FB6273">
        <w:rPr>
          <w:rFonts w:ascii="Bookman Old Style" w:hAnsi="Bookman Old Style"/>
        </w:rPr>
        <w:t>192</w:t>
      </w:r>
      <w:r>
        <w:rPr>
          <w:rFonts w:ascii="Bookman Old Style" w:hAnsi="Bookman Old Style"/>
        </w:rPr>
        <w:t xml:space="preserve"> </w:t>
      </w:r>
      <w:r w:rsidRPr="00FB6273">
        <w:rPr>
          <w:rFonts w:ascii="Bookman Old Style" w:hAnsi="Bookman Old Style"/>
        </w:rPr>
        <w:t>b</w:t>
      </w:r>
      <w:r>
        <w:rPr>
          <w:rFonts w:ascii="Bookman Old Style" w:hAnsi="Bookman Old Style"/>
        </w:rPr>
        <w:t>illio</w:t>
      </w:r>
      <w:r w:rsidRPr="00FB6273">
        <w:rPr>
          <w:rFonts w:ascii="Bookman Old Style" w:hAnsi="Bookman Old Style"/>
        </w:rPr>
        <w:t>n should be earmarked to facilitate, de-risk and or accelerate export oriented projects but provides no details on how it arrived at the sum and to what exact activities it will be channelled to, should such bud</w:t>
      </w:r>
      <w:r>
        <w:rPr>
          <w:rFonts w:ascii="Bookman Old Style" w:hAnsi="Bookman Old Style"/>
        </w:rPr>
        <w:t xml:space="preserve">getary allocation be received. </w:t>
      </w:r>
    </w:p>
    <w:p w14:paraId="69154D9F" w14:textId="77777777" w:rsidR="00493D7A" w:rsidRDefault="00493D7A" w:rsidP="00493D7A">
      <w:pPr>
        <w:spacing w:after="0" w:line="240" w:lineRule="auto"/>
        <w:jc w:val="both"/>
        <w:rPr>
          <w:rFonts w:ascii="Bookman Old Style" w:hAnsi="Bookman Old Style"/>
        </w:rPr>
      </w:pPr>
    </w:p>
    <w:p w14:paraId="714FAC11" w14:textId="77777777" w:rsidR="00493D7A" w:rsidRPr="00FB6273" w:rsidRDefault="00493D7A" w:rsidP="00493D7A">
      <w:pPr>
        <w:spacing w:after="0" w:line="240" w:lineRule="auto"/>
        <w:jc w:val="both"/>
        <w:rPr>
          <w:rFonts w:ascii="Bookman Old Style" w:hAnsi="Bookman Old Style"/>
        </w:rPr>
      </w:pPr>
      <w:r w:rsidRPr="00FB6273">
        <w:rPr>
          <w:rFonts w:ascii="Bookman Old Style" w:hAnsi="Bookman Old Style"/>
        </w:rPr>
        <w:t xml:space="preserve">The absence of a clear understanding of what funding needs are required by relevant agencies of government to spur significant increase in non-oil export is indicative of the inability of the agencies to understand what the specific challenges are and how they will be surmounted. </w:t>
      </w:r>
    </w:p>
    <w:p w14:paraId="18890A2E" w14:textId="77777777" w:rsidR="00493D7A" w:rsidRDefault="00493D7A" w:rsidP="00493D7A">
      <w:pPr>
        <w:spacing w:after="0" w:line="240" w:lineRule="auto"/>
        <w:jc w:val="both"/>
        <w:rPr>
          <w:rFonts w:ascii="Bookman Old Style" w:hAnsi="Bookman Old Style"/>
        </w:rPr>
      </w:pPr>
    </w:p>
    <w:p w14:paraId="5C583FE1" w14:textId="77777777" w:rsidR="00493D7A" w:rsidRPr="00FF0DB5" w:rsidRDefault="00493D7A" w:rsidP="00493D7A">
      <w:pPr>
        <w:pStyle w:val="ListParagraph"/>
        <w:numPr>
          <w:ilvl w:val="0"/>
          <w:numId w:val="3"/>
        </w:numPr>
        <w:spacing w:after="0" w:line="240" w:lineRule="auto"/>
        <w:jc w:val="both"/>
        <w:rPr>
          <w:rFonts w:ascii="Bookman Old Style" w:hAnsi="Bookman Old Style"/>
          <w:b/>
        </w:rPr>
      </w:pPr>
      <w:r w:rsidRPr="00FF0DB5">
        <w:rPr>
          <w:rFonts w:ascii="Bookman Old Style" w:hAnsi="Bookman Old Style"/>
          <w:b/>
        </w:rPr>
        <w:t>Policy Focus</w:t>
      </w:r>
    </w:p>
    <w:p w14:paraId="40978B48" w14:textId="77777777" w:rsidR="00493D7A" w:rsidRPr="00FB6273" w:rsidRDefault="00493D7A" w:rsidP="00493D7A">
      <w:pPr>
        <w:spacing w:after="0" w:line="240" w:lineRule="auto"/>
        <w:jc w:val="both"/>
        <w:rPr>
          <w:rFonts w:ascii="Bookman Old Style" w:hAnsi="Bookman Old Style"/>
        </w:rPr>
      </w:pPr>
      <w:r>
        <w:rPr>
          <w:rFonts w:ascii="Bookman Old Style" w:hAnsi="Bookman Old Style"/>
        </w:rPr>
        <w:t>The zero-</w:t>
      </w:r>
      <w:r w:rsidRPr="00FB6273">
        <w:rPr>
          <w:rFonts w:ascii="Bookman Old Style" w:hAnsi="Bookman Old Style"/>
        </w:rPr>
        <w:t xml:space="preserve">oil plan seek to focus more on crops where we have greater comparative advantage as against crops from which we have been earning some measure of sustained foreign exchange from, at least in the short term. The shortcoming here is that NEPC might be unable to spur significant production of the crops with greater comparative advantage for us in the short term as much as it would spur significant increase in foreign exchange earnings had it focused on our current top ten non-oil exports.  </w:t>
      </w:r>
    </w:p>
    <w:p w14:paraId="10C71C41" w14:textId="77777777" w:rsidR="00493D7A" w:rsidRPr="00FB6273" w:rsidRDefault="00493D7A" w:rsidP="00493D7A">
      <w:pPr>
        <w:spacing w:after="0" w:line="240" w:lineRule="auto"/>
        <w:jc w:val="both"/>
        <w:rPr>
          <w:rFonts w:ascii="Bookman Old Style" w:hAnsi="Bookman Old Style"/>
        </w:rPr>
      </w:pPr>
    </w:p>
    <w:p w14:paraId="4193ADF3" w14:textId="77777777" w:rsidR="00493D7A" w:rsidRDefault="00493D7A" w:rsidP="00493D7A">
      <w:pPr>
        <w:spacing w:after="0" w:line="240" w:lineRule="auto"/>
        <w:jc w:val="both"/>
        <w:rPr>
          <w:rFonts w:ascii="Bookman Old Style" w:hAnsi="Bookman Old Style"/>
        </w:rPr>
      </w:pPr>
      <w:r w:rsidRPr="00FB6273">
        <w:rPr>
          <w:rFonts w:ascii="Bookman Old Style" w:hAnsi="Bookman Old Style"/>
        </w:rPr>
        <w:t>It is also worthy of note that the plan which was launched in October 2016, four months after the launch of the Green Alternative (Agriculture Promotion Policy) is not aligned to the focus areas of the Federal Ministry of Agriculture as its focus crops are at some level of variance with that of the ministry.</w:t>
      </w:r>
    </w:p>
    <w:p w14:paraId="59850FEE" w14:textId="77777777" w:rsidR="00493D7A" w:rsidRDefault="00493D7A" w:rsidP="00493D7A">
      <w:pPr>
        <w:spacing w:after="0" w:line="240" w:lineRule="auto"/>
        <w:jc w:val="both"/>
        <w:rPr>
          <w:rFonts w:ascii="Bookman Old Style" w:hAnsi="Bookman Old Style"/>
        </w:rPr>
      </w:pPr>
    </w:p>
    <w:p w14:paraId="60C0F054" w14:textId="77777777" w:rsidR="00493D7A" w:rsidRDefault="00493D7A" w:rsidP="00493D7A">
      <w:pPr>
        <w:spacing w:after="0" w:line="240" w:lineRule="auto"/>
        <w:jc w:val="both"/>
        <w:rPr>
          <w:rFonts w:ascii="Bookman Old Style" w:hAnsi="Bookman Old Style"/>
          <w:b/>
        </w:rPr>
      </w:pPr>
      <w:r w:rsidRPr="00FF0DB5">
        <w:rPr>
          <w:rFonts w:ascii="Bookman Old Style" w:hAnsi="Bookman Old Style"/>
          <w:b/>
        </w:rPr>
        <w:t>Table 1.1 Misalignment between the Zero Oil plan and Agriculture Promotion Policy</w:t>
      </w:r>
    </w:p>
    <w:p w14:paraId="64D0C2AB" w14:textId="77777777" w:rsidR="00493D7A" w:rsidRPr="00FF0DB5" w:rsidRDefault="00493D7A" w:rsidP="00493D7A">
      <w:pPr>
        <w:spacing w:after="0" w:line="240" w:lineRule="auto"/>
        <w:jc w:val="both"/>
        <w:rPr>
          <w:rFonts w:ascii="Bookman Old Style" w:hAnsi="Bookman Old Style"/>
          <w:b/>
        </w:rPr>
      </w:pPr>
    </w:p>
    <w:tbl>
      <w:tblPr>
        <w:tblStyle w:val="TableGrid"/>
        <w:tblW w:w="0" w:type="auto"/>
        <w:tblLook w:val="04A0" w:firstRow="1" w:lastRow="0" w:firstColumn="1" w:lastColumn="0" w:noHBand="0" w:noVBand="1"/>
      </w:tblPr>
      <w:tblGrid>
        <w:gridCol w:w="562"/>
        <w:gridCol w:w="3969"/>
        <w:gridCol w:w="4485"/>
      </w:tblGrid>
      <w:tr w:rsidR="00493D7A" w14:paraId="0810F068" w14:textId="77777777" w:rsidTr="00493D7A">
        <w:tc>
          <w:tcPr>
            <w:tcW w:w="562" w:type="dxa"/>
          </w:tcPr>
          <w:p w14:paraId="37C91980" w14:textId="77777777" w:rsidR="00493D7A" w:rsidRDefault="00493D7A" w:rsidP="00493D7A">
            <w:pPr>
              <w:jc w:val="both"/>
              <w:rPr>
                <w:rFonts w:ascii="Bookman Old Style" w:hAnsi="Bookman Old Style"/>
              </w:rPr>
            </w:pPr>
            <w:r>
              <w:rPr>
                <w:rFonts w:ascii="Bookman Old Style" w:hAnsi="Bookman Old Style"/>
              </w:rPr>
              <w:t>SN</w:t>
            </w:r>
          </w:p>
        </w:tc>
        <w:tc>
          <w:tcPr>
            <w:tcW w:w="3969" w:type="dxa"/>
          </w:tcPr>
          <w:p w14:paraId="38E4153F" w14:textId="77777777" w:rsidR="00493D7A" w:rsidRDefault="00493D7A" w:rsidP="00493D7A">
            <w:pPr>
              <w:jc w:val="both"/>
              <w:rPr>
                <w:rFonts w:ascii="Bookman Old Style" w:hAnsi="Bookman Old Style"/>
              </w:rPr>
            </w:pPr>
            <w:r w:rsidRPr="00FB6273">
              <w:rPr>
                <w:rFonts w:ascii="Bookman Old Style" w:hAnsi="Bookman Old Style"/>
              </w:rPr>
              <w:t xml:space="preserve">ZERO OIL PLAN                                                 </w:t>
            </w:r>
          </w:p>
        </w:tc>
        <w:tc>
          <w:tcPr>
            <w:tcW w:w="4485" w:type="dxa"/>
          </w:tcPr>
          <w:p w14:paraId="210FF23F" w14:textId="77777777" w:rsidR="00493D7A" w:rsidRPr="00FB6273" w:rsidRDefault="00493D7A" w:rsidP="00493D7A">
            <w:pPr>
              <w:jc w:val="both"/>
              <w:rPr>
                <w:rFonts w:ascii="Bookman Old Style" w:hAnsi="Bookman Old Style"/>
              </w:rPr>
            </w:pPr>
            <w:r w:rsidRPr="00FB6273">
              <w:rPr>
                <w:rFonts w:ascii="Bookman Old Style" w:hAnsi="Bookman Old Style"/>
              </w:rPr>
              <w:t>AGRICULTURE PROMOTION POLICY</w:t>
            </w:r>
          </w:p>
          <w:p w14:paraId="7BCD24FD" w14:textId="77777777" w:rsidR="00493D7A" w:rsidRDefault="00493D7A" w:rsidP="00493D7A">
            <w:pPr>
              <w:jc w:val="both"/>
              <w:rPr>
                <w:rFonts w:ascii="Bookman Old Style" w:hAnsi="Bookman Old Style"/>
              </w:rPr>
            </w:pPr>
          </w:p>
        </w:tc>
      </w:tr>
      <w:tr w:rsidR="00493D7A" w14:paraId="59977AD9" w14:textId="77777777" w:rsidTr="00493D7A">
        <w:tc>
          <w:tcPr>
            <w:tcW w:w="562" w:type="dxa"/>
          </w:tcPr>
          <w:p w14:paraId="0CE367E1" w14:textId="77777777" w:rsidR="00493D7A" w:rsidRDefault="00493D7A" w:rsidP="00493D7A">
            <w:pPr>
              <w:jc w:val="both"/>
              <w:rPr>
                <w:rFonts w:ascii="Bookman Old Style" w:hAnsi="Bookman Old Style"/>
              </w:rPr>
            </w:pPr>
            <w:r>
              <w:rPr>
                <w:rFonts w:ascii="Bookman Old Style" w:hAnsi="Bookman Old Style"/>
              </w:rPr>
              <w:t>1</w:t>
            </w:r>
          </w:p>
        </w:tc>
        <w:tc>
          <w:tcPr>
            <w:tcW w:w="3969" w:type="dxa"/>
          </w:tcPr>
          <w:p w14:paraId="0B14C8A8" w14:textId="77777777" w:rsidR="00493D7A" w:rsidRDefault="00493D7A" w:rsidP="00493D7A">
            <w:pPr>
              <w:jc w:val="both"/>
              <w:rPr>
                <w:rFonts w:ascii="Bookman Old Style" w:hAnsi="Bookman Old Style"/>
              </w:rPr>
            </w:pPr>
            <w:r>
              <w:rPr>
                <w:rFonts w:ascii="Bookman Old Style" w:hAnsi="Bookman Old Style"/>
              </w:rPr>
              <w:t>Palm Oil</w:t>
            </w:r>
          </w:p>
        </w:tc>
        <w:tc>
          <w:tcPr>
            <w:tcW w:w="4485" w:type="dxa"/>
          </w:tcPr>
          <w:p w14:paraId="37628510" w14:textId="77777777" w:rsidR="00493D7A" w:rsidRDefault="00493D7A" w:rsidP="00493D7A">
            <w:pPr>
              <w:jc w:val="both"/>
              <w:rPr>
                <w:rFonts w:ascii="Bookman Old Style" w:hAnsi="Bookman Old Style"/>
              </w:rPr>
            </w:pPr>
            <w:r>
              <w:rPr>
                <w:rFonts w:ascii="Bookman Old Style" w:hAnsi="Bookman Old Style"/>
              </w:rPr>
              <w:t>Rice</w:t>
            </w:r>
          </w:p>
        </w:tc>
      </w:tr>
      <w:tr w:rsidR="00493D7A" w14:paraId="47CFC7A9" w14:textId="77777777" w:rsidTr="00493D7A">
        <w:tc>
          <w:tcPr>
            <w:tcW w:w="562" w:type="dxa"/>
          </w:tcPr>
          <w:p w14:paraId="2350ADFA" w14:textId="77777777" w:rsidR="00493D7A" w:rsidRDefault="00493D7A" w:rsidP="00493D7A">
            <w:pPr>
              <w:jc w:val="both"/>
              <w:rPr>
                <w:rFonts w:ascii="Bookman Old Style" w:hAnsi="Bookman Old Style"/>
              </w:rPr>
            </w:pPr>
            <w:r>
              <w:rPr>
                <w:rFonts w:ascii="Bookman Old Style" w:hAnsi="Bookman Old Style"/>
              </w:rPr>
              <w:t>2</w:t>
            </w:r>
          </w:p>
        </w:tc>
        <w:tc>
          <w:tcPr>
            <w:tcW w:w="3969" w:type="dxa"/>
          </w:tcPr>
          <w:p w14:paraId="692F0CCF" w14:textId="77777777" w:rsidR="00493D7A" w:rsidRDefault="00493D7A" w:rsidP="00493D7A">
            <w:pPr>
              <w:jc w:val="both"/>
              <w:rPr>
                <w:rFonts w:ascii="Bookman Old Style" w:hAnsi="Bookman Old Style"/>
              </w:rPr>
            </w:pPr>
            <w:r>
              <w:rPr>
                <w:rFonts w:ascii="Bookman Old Style" w:hAnsi="Bookman Old Style"/>
              </w:rPr>
              <w:t>Cocoa</w:t>
            </w:r>
          </w:p>
        </w:tc>
        <w:tc>
          <w:tcPr>
            <w:tcW w:w="4485" w:type="dxa"/>
          </w:tcPr>
          <w:p w14:paraId="4D0B5BDB" w14:textId="77777777" w:rsidR="00493D7A" w:rsidRDefault="00493D7A" w:rsidP="00493D7A">
            <w:pPr>
              <w:jc w:val="both"/>
              <w:rPr>
                <w:rFonts w:ascii="Bookman Old Style" w:hAnsi="Bookman Old Style"/>
              </w:rPr>
            </w:pPr>
            <w:r>
              <w:rPr>
                <w:rFonts w:ascii="Bookman Old Style" w:hAnsi="Bookman Old Style"/>
              </w:rPr>
              <w:t>Wheat</w:t>
            </w:r>
          </w:p>
        </w:tc>
      </w:tr>
      <w:tr w:rsidR="00493D7A" w14:paraId="79DF6E48" w14:textId="77777777" w:rsidTr="00493D7A">
        <w:tc>
          <w:tcPr>
            <w:tcW w:w="562" w:type="dxa"/>
          </w:tcPr>
          <w:p w14:paraId="092B75D7" w14:textId="77777777" w:rsidR="00493D7A" w:rsidRDefault="00493D7A" w:rsidP="00493D7A">
            <w:pPr>
              <w:jc w:val="both"/>
              <w:rPr>
                <w:rFonts w:ascii="Bookman Old Style" w:hAnsi="Bookman Old Style"/>
              </w:rPr>
            </w:pPr>
            <w:r>
              <w:rPr>
                <w:rFonts w:ascii="Bookman Old Style" w:hAnsi="Bookman Old Style"/>
              </w:rPr>
              <w:t>3</w:t>
            </w:r>
          </w:p>
        </w:tc>
        <w:tc>
          <w:tcPr>
            <w:tcW w:w="3969" w:type="dxa"/>
          </w:tcPr>
          <w:p w14:paraId="63546B9B" w14:textId="77777777" w:rsidR="00493D7A" w:rsidRDefault="00493D7A" w:rsidP="00493D7A">
            <w:pPr>
              <w:jc w:val="both"/>
              <w:rPr>
                <w:rFonts w:ascii="Bookman Old Style" w:hAnsi="Bookman Old Style"/>
              </w:rPr>
            </w:pPr>
            <w:r>
              <w:rPr>
                <w:rFonts w:ascii="Bookman Old Style" w:hAnsi="Bookman Old Style"/>
              </w:rPr>
              <w:t>Cotton</w:t>
            </w:r>
          </w:p>
        </w:tc>
        <w:tc>
          <w:tcPr>
            <w:tcW w:w="4485" w:type="dxa"/>
          </w:tcPr>
          <w:p w14:paraId="38B1037C" w14:textId="77777777" w:rsidR="00493D7A" w:rsidRDefault="00493D7A" w:rsidP="00493D7A">
            <w:pPr>
              <w:jc w:val="both"/>
              <w:rPr>
                <w:rFonts w:ascii="Bookman Old Style" w:hAnsi="Bookman Old Style"/>
              </w:rPr>
            </w:pPr>
            <w:r>
              <w:rPr>
                <w:rFonts w:ascii="Bookman Old Style" w:hAnsi="Bookman Old Style"/>
              </w:rPr>
              <w:t>Maize</w:t>
            </w:r>
          </w:p>
        </w:tc>
      </w:tr>
      <w:tr w:rsidR="00493D7A" w14:paraId="4AEC5AAE" w14:textId="77777777" w:rsidTr="00493D7A">
        <w:tc>
          <w:tcPr>
            <w:tcW w:w="562" w:type="dxa"/>
          </w:tcPr>
          <w:p w14:paraId="0B96AFE1" w14:textId="77777777" w:rsidR="00493D7A" w:rsidRDefault="00493D7A" w:rsidP="00493D7A">
            <w:pPr>
              <w:jc w:val="both"/>
              <w:rPr>
                <w:rFonts w:ascii="Bookman Old Style" w:hAnsi="Bookman Old Style"/>
              </w:rPr>
            </w:pPr>
            <w:r>
              <w:rPr>
                <w:rFonts w:ascii="Bookman Old Style" w:hAnsi="Bookman Old Style"/>
              </w:rPr>
              <w:t>4</w:t>
            </w:r>
          </w:p>
        </w:tc>
        <w:tc>
          <w:tcPr>
            <w:tcW w:w="3969" w:type="dxa"/>
          </w:tcPr>
          <w:p w14:paraId="2EE5F79F" w14:textId="77777777" w:rsidR="00493D7A" w:rsidRDefault="00493D7A" w:rsidP="00493D7A">
            <w:pPr>
              <w:jc w:val="both"/>
              <w:rPr>
                <w:rFonts w:ascii="Bookman Old Style" w:hAnsi="Bookman Old Style"/>
              </w:rPr>
            </w:pPr>
            <w:r>
              <w:rPr>
                <w:rFonts w:ascii="Bookman Old Style" w:hAnsi="Bookman Old Style"/>
              </w:rPr>
              <w:t>Leather</w:t>
            </w:r>
          </w:p>
        </w:tc>
        <w:tc>
          <w:tcPr>
            <w:tcW w:w="4485" w:type="dxa"/>
          </w:tcPr>
          <w:p w14:paraId="47596108" w14:textId="77777777" w:rsidR="00493D7A" w:rsidRDefault="00493D7A" w:rsidP="00493D7A">
            <w:pPr>
              <w:jc w:val="both"/>
              <w:rPr>
                <w:rFonts w:ascii="Bookman Old Style" w:hAnsi="Bookman Old Style"/>
              </w:rPr>
            </w:pPr>
            <w:r>
              <w:rPr>
                <w:rFonts w:ascii="Bookman Old Style" w:hAnsi="Bookman Old Style"/>
              </w:rPr>
              <w:t>Aquaculture</w:t>
            </w:r>
          </w:p>
        </w:tc>
      </w:tr>
      <w:tr w:rsidR="00493D7A" w14:paraId="36467E06" w14:textId="77777777" w:rsidTr="00493D7A">
        <w:tc>
          <w:tcPr>
            <w:tcW w:w="562" w:type="dxa"/>
          </w:tcPr>
          <w:p w14:paraId="685F98D4" w14:textId="77777777" w:rsidR="00493D7A" w:rsidRDefault="00493D7A" w:rsidP="00493D7A">
            <w:pPr>
              <w:jc w:val="both"/>
              <w:rPr>
                <w:rFonts w:ascii="Bookman Old Style" w:hAnsi="Bookman Old Style"/>
              </w:rPr>
            </w:pPr>
            <w:r>
              <w:rPr>
                <w:rFonts w:ascii="Bookman Old Style" w:hAnsi="Bookman Old Style"/>
              </w:rPr>
              <w:t>5</w:t>
            </w:r>
          </w:p>
        </w:tc>
        <w:tc>
          <w:tcPr>
            <w:tcW w:w="3969" w:type="dxa"/>
          </w:tcPr>
          <w:p w14:paraId="3676F221" w14:textId="77777777" w:rsidR="00493D7A" w:rsidRDefault="00493D7A" w:rsidP="00493D7A">
            <w:pPr>
              <w:jc w:val="both"/>
              <w:rPr>
                <w:rFonts w:ascii="Bookman Old Style" w:hAnsi="Bookman Old Style"/>
              </w:rPr>
            </w:pPr>
            <w:r>
              <w:rPr>
                <w:rFonts w:ascii="Bookman Old Style" w:hAnsi="Bookman Old Style"/>
              </w:rPr>
              <w:t>Petro Chemicals</w:t>
            </w:r>
          </w:p>
        </w:tc>
        <w:tc>
          <w:tcPr>
            <w:tcW w:w="4485" w:type="dxa"/>
          </w:tcPr>
          <w:p w14:paraId="0C33B229" w14:textId="77777777" w:rsidR="00493D7A" w:rsidRDefault="00493D7A" w:rsidP="00493D7A">
            <w:pPr>
              <w:jc w:val="both"/>
              <w:rPr>
                <w:rFonts w:ascii="Bookman Old Style" w:hAnsi="Bookman Old Style"/>
              </w:rPr>
            </w:pPr>
            <w:r>
              <w:rPr>
                <w:rFonts w:ascii="Bookman Old Style" w:hAnsi="Bookman Old Style"/>
              </w:rPr>
              <w:t>Diary Milk</w:t>
            </w:r>
          </w:p>
        </w:tc>
      </w:tr>
      <w:tr w:rsidR="00493D7A" w14:paraId="31482BDB" w14:textId="77777777" w:rsidTr="00493D7A">
        <w:tc>
          <w:tcPr>
            <w:tcW w:w="562" w:type="dxa"/>
          </w:tcPr>
          <w:p w14:paraId="495D8FAF" w14:textId="77777777" w:rsidR="00493D7A" w:rsidRDefault="00493D7A" w:rsidP="00493D7A">
            <w:pPr>
              <w:jc w:val="both"/>
              <w:rPr>
                <w:rFonts w:ascii="Bookman Old Style" w:hAnsi="Bookman Old Style"/>
              </w:rPr>
            </w:pPr>
            <w:r>
              <w:rPr>
                <w:rFonts w:ascii="Bookman Old Style" w:hAnsi="Bookman Old Style"/>
              </w:rPr>
              <w:t>6</w:t>
            </w:r>
          </w:p>
        </w:tc>
        <w:tc>
          <w:tcPr>
            <w:tcW w:w="3969" w:type="dxa"/>
          </w:tcPr>
          <w:p w14:paraId="255E0ECF" w14:textId="77777777" w:rsidR="00493D7A" w:rsidRDefault="00493D7A" w:rsidP="00493D7A">
            <w:pPr>
              <w:jc w:val="both"/>
              <w:rPr>
                <w:rFonts w:ascii="Bookman Old Style" w:hAnsi="Bookman Old Style"/>
              </w:rPr>
            </w:pPr>
            <w:r>
              <w:rPr>
                <w:rFonts w:ascii="Bookman Old Style" w:hAnsi="Bookman Old Style"/>
              </w:rPr>
              <w:t>Nitrogenous Fertiliser</w:t>
            </w:r>
          </w:p>
        </w:tc>
        <w:tc>
          <w:tcPr>
            <w:tcW w:w="4485" w:type="dxa"/>
          </w:tcPr>
          <w:p w14:paraId="246AD3B2" w14:textId="77777777" w:rsidR="00493D7A" w:rsidRDefault="00493D7A" w:rsidP="00493D7A">
            <w:pPr>
              <w:jc w:val="both"/>
              <w:rPr>
                <w:rFonts w:ascii="Bookman Old Style" w:hAnsi="Bookman Old Style"/>
              </w:rPr>
            </w:pPr>
            <w:r>
              <w:rPr>
                <w:rFonts w:ascii="Bookman Old Style" w:hAnsi="Bookman Old Style"/>
              </w:rPr>
              <w:t>Soya Milk</w:t>
            </w:r>
          </w:p>
        </w:tc>
      </w:tr>
      <w:tr w:rsidR="00493D7A" w14:paraId="5D5DD9E5" w14:textId="77777777" w:rsidTr="00493D7A">
        <w:tc>
          <w:tcPr>
            <w:tcW w:w="562" w:type="dxa"/>
          </w:tcPr>
          <w:p w14:paraId="38C74262" w14:textId="77777777" w:rsidR="00493D7A" w:rsidRDefault="00493D7A" w:rsidP="00493D7A">
            <w:pPr>
              <w:jc w:val="both"/>
              <w:rPr>
                <w:rFonts w:ascii="Bookman Old Style" w:hAnsi="Bookman Old Style"/>
              </w:rPr>
            </w:pPr>
            <w:r>
              <w:rPr>
                <w:rFonts w:ascii="Bookman Old Style" w:hAnsi="Bookman Old Style"/>
              </w:rPr>
              <w:t>7</w:t>
            </w:r>
          </w:p>
        </w:tc>
        <w:tc>
          <w:tcPr>
            <w:tcW w:w="3969" w:type="dxa"/>
          </w:tcPr>
          <w:p w14:paraId="4F4A6A90" w14:textId="77777777" w:rsidR="00493D7A" w:rsidRDefault="00493D7A" w:rsidP="00493D7A">
            <w:pPr>
              <w:jc w:val="both"/>
              <w:rPr>
                <w:rFonts w:ascii="Bookman Old Style" w:hAnsi="Bookman Old Style"/>
              </w:rPr>
            </w:pPr>
            <w:r>
              <w:rPr>
                <w:rFonts w:ascii="Bookman Old Style" w:hAnsi="Bookman Old Style"/>
              </w:rPr>
              <w:t>Cement</w:t>
            </w:r>
          </w:p>
        </w:tc>
        <w:tc>
          <w:tcPr>
            <w:tcW w:w="4485" w:type="dxa"/>
          </w:tcPr>
          <w:p w14:paraId="74E702A8" w14:textId="77777777" w:rsidR="00493D7A" w:rsidRDefault="00493D7A" w:rsidP="00493D7A">
            <w:pPr>
              <w:jc w:val="both"/>
              <w:rPr>
                <w:rFonts w:ascii="Bookman Old Style" w:hAnsi="Bookman Old Style"/>
              </w:rPr>
            </w:pPr>
            <w:r>
              <w:rPr>
                <w:rFonts w:ascii="Bookman Old Style" w:hAnsi="Bookman Old Style"/>
              </w:rPr>
              <w:t>Poultry</w:t>
            </w:r>
          </w:p>
        </w:tc>
      </w:tr>
      <w:tr w:rsidR="00493D7A" w14:paraId="2EFDCB48" w14:textId="77777777" w:rsidTr="00493D7A">
        <w:tc>
          <w:tcPr>
            <w:tcW w:w="562" w:type="dxa"/>
          </w:tcPr>
          <w:p w14:paraId="747D1190" w14:textId="77777777" w:rsidR="00493D7A" w:rsidRDefault="00493D7A" w:rsidP="00493D7A">
            <w:pPr>
              <w:jc w:val="both"/>
              <w:rPr>
                <w:rFonts w:ascii="Bookman Old Style" w:hAnsi="Bookman Old Style"/>
              </w:rPr>
            </w:pPr>
            <w:r>
              <w:rPr>
                <w:rFonts w:ascii="Bookman Old Style" w:hAnsi="Bookman Old Style"/>
              </w:rPr>
              <w:t>8</w:t>
            </w:r>
          </w:p>
        </w:tc>
        <w:tc>
          <w:tcPr>
            <w:tcW w:w="3969" w:type="dxa"/>
          </w:tcPr>
          <w:p w14:paraId="7D17A650" w14:textId="77777777" w:rsidR="00493D7A" w:rsidRDefault="00493D7A" w:rsidP="00493D7A">
            <w:pPr>
              <w:jc w:val="both"/>
              <w:rPr>
                <w:rFonts w:ascii="Bookman Old Style" w:hAnsi="Bookman Old Style"/>
              </w:rPr>
            </w:pPr>
            <w:r>
              <w:rPr>
                <w:rFonts w:ascii="Bookman Old Style" w:hAnsi="Bookman Old Style"/>
              </w:rPr>
              <w:t>Gold</w:t>
            </w:r>
          </w:p>
        </w:tc>
        <w:tc>
          <w:tcPr>
            <w:tcW w:w="4485" w:type="dxa"/>
          </w:tcPr>
          <w:p w14:paraId="0F544593" w14:textId="77777777" w:rsidR="00493D7A" w:rsidRDefault="00493D7A" w:rsidP="00493D7A">
            <w:pPr>
              <w:jc w:val="both"/>
              <w:rPr>
                <w:rFonts w:ascii="Bookman Old Style" w:hAnsi="Bookman Old Style"/>
              </w:rPr>
            </w:pPr>
            <w:r>
              <w:rPr>
                <w:rFonts w:ascii="Bookman Old Style" w:hAnsi="Bookman Old Style"/>
              </w:rPr>
              <w:t>Horticulture</w:t>
            </w:r>
          </w:p>
        </w:tc>
      </w:tr>
      <w:tr w:rsidR="00493D7A" w14:paraId="6A288D6F" w14:textId="77777777" w:rsidTr="00493D7A">
        <w:tc>
          <w:tcPr>
            <w:tcW w:w="562" w:type="dxa"/>
          </w:tcPr>
          <w:p w14:paraId="596C4972" w14:textId="77777777" w:rsidR="00493D7A" w:rsidRDefault="00493D7A" w:rsidP="00493D7A">
            <w:pPr>
              <w:jc w:val="both"/>
              <w:rPr>
                <w:rFonts w:ascii="Bookman Old Style" w:hAnsi="Bookman Old Style"/>
              </w:rPr>
            </w:pPr>
            <w:r>
              <w:rPr>
                <w:rFonts w:ascii="Bookman Old Style" w:hAnsi="Bookman Old Style"/>
              </w:rPr>
              <w:t>9</w:t>
            </w:r>
          </w:p>
        </w:tc>
        <w:tc>
          <w:tcPr>
            <w:tcW w:w="3969" w:type="dxa"/>
          </w:tcPr>
          <w:p w14:paraId="2A4A6E69" w14:textId="77777777" w:rsidR="00493D7A" w:rsidRDefault="00493D7A" w:rsidP="00493D7A">
            <w:pPr>
              <w:jc w:val="both"/>
              <w:rPr>
                <w:rFonts w:ascii="Bookman Old Style" w:hAnsi="Bookman Old Style"/>
              </w:rPr>
            </w:pPr>
            <w:r>
              <w:rPr>
                <w:rFonts w:ascii="Bookman Old Style" w:hAnsi="Bookman Old Style"/>
              </w:rPr>
              <w:t>Soya Beans</w:t>
            </w:r>
          </w:p>
        </w:tc>
        <w:tc>
          <w:tcPr>
            <w:tcW w:w="4485" w:type="dxa"/>
          </w:tcPr>
          <w:p w14:paraId="047A7D60" w14:textId="77777777" w:rsidR="00493D7A" w:rsidRDefault="00493D7A" w:rsidP="00493D7A">
            <w:pPr>
              <w:jc w:val="both"/>
              <w:rPr>
                <w:rFonts w:ascii="Bookman Old Style" w:hAnsi="Bookman Old Style"/>
              </w:rPr>
            </w:pPr>
            <w:r>
              <w:rPr>
                <w:rFonts w:ascii="Bookman Old Style" w:hAnsi="Bookman Old Style"/>
              </w:rPr>
              <w:t>Sugar</w:t>
            </w:r>
          </w:p>
        </w:tc>
      </w:tr>
    </w:tbl>
    <w:p w14:paraId="30C6D90E" w14:textId="77777777" w:rsidR="00493D7A" w:rsidRPr="00FB6273" w:rsidRDefault="00493D7A" w:rsidP="00493D7A">
      <w:pPr>
        <w:spacing w:after="0" w:line="240" w:lineRule="auto"/>
        <w:jc w:val="both"/>
        <w:rPr>
          <w:rFonts w:ascii="Bookman Old Style" w:hAnsi="Bookman Old Style"/>
        </w:rPr>
      </w:pPr>
    </w:p>
    <w:p w14:paraId="5781BFFB" w14:textId="77777777" w:rsidR="00493D7A" w:rsidRPr="00FB6273" w:rsidRDefault="00493D7A" w:rsidP="00493D7A">
      <w:pPr>
        <w:spacing w:after="0" w:line="240" w:lineRule="auto"/>
        <w:jc w:val="both"/>
        <w:rPr>
          <w:rFonts w:ascii="Bookman Old Style" w:hAnsi="Bookman Old Style"/>
        </w:rPr>
      </w:pPr>
      <w:r w:rsidRPr="00FB6273">
        <w:rPr>
          <w:rFonts w:ascii="Bookman Old Style" w:hAnsi="Bookman Old Style"/>
        </w:rPr>
        <w:t>Data provided above clearly indicates that the resources available to the ministry (both from budgetary allocations and from donor agencies) will be used to pursue an agenda at variance with that of the Zero oil plan as NEPC will channel all its resources to promote non-oil export that might largely not be produced in Nigeria as the role of NEPC basically is promotion of non-oil exports produced in Nigeria and not the production of the non-oil export goods.</w:t>
      </w:r>
    </w:p>
    <w:p w14:paraId="27AEEE7B" w14:textId="77777777" w:rsidR="00493D7A" w:rsidRPr="00FB6273" w:rsidRDefault="00493D7A" w:rsidP="00493D7A">
      <w:pPr>
        <w:spacing w:after="0" w:line="240" w:lineRule="auto"/>
        <w:jc w:val="both"/>
        <w:rPr>
          <w:rFonts w:ascii="Bookman Old Style" w:hAnsi="Bookman Old Style"/>
        </w:rPr>
      </w:pPr>
    </w:p>
    <w:p w14:paraId="7CFFA68B" w14:textId="77777777" w:rsidR="00493D7A" w:rsidRPr="00C95651" w:rsidRDefault="00493D7A" w:rsidP="00493D7A">
      <w:pPr>
        <w:spacing w:after="0" w:line="240" w:lineRule="auto"/>
        <w:jc w:val="both"/>
        <w:rPr>
          <w:rFonts w:ascii="Bookman Old Style" w:hAnsi="Bookman Old Style"/>
          <w:b/>
        </w:rPr>
      </w:pPr>
      <w:r w:rsidRPr="00C95651">
        <w:rPr>
          <w:rFonts w:ascii="Bookman Old Style" w:hAnsi="Bookman Old Style"/>
          <w:b/>
        </w:rPr>
        <w:lastRenderedPageBreak/>
        <w:t>1.2</w:t>
      </w:r>
      <w:r w:rsidRPr="00C95651">
        <w:rPr>
          <w:rFonts w:ascii="Bookman Old Style" w:hAnsi="Bookman Old Style"/>
          <w:b/>
        </w:rPr>
        <w:tab/>
        <w:t>Agriculture Promotion Policy</w:t>
      </w:r>
    </w:p>
    <w:p w14:paraId="76A515BC" w14:textId="77777777" w:rsidR="00493D7A" w:rsidRDefault="00493D7A" w:rsidP="00493D7A">
      <w:pPr>
        <w:spacing w:after="0" w:line="240" w:lineRule="auto"/>
        <w:jc w:val="both"/>
        <w:rPr>
          <w:rFonts w:ascii="Bookman Old Style" w:hAnsi="Bookman Old Style"/>
        </w:rPr>
      </w:pPr>
      <w:r w:rsidRPr="00FB6273">
        <w:rPr>
          <w:rFonts w:ascii="Bookman Old Style" w:hAnsi="Bookman Old Style"/>
        </w:rPr>
        <w:t xml:space="preserve">The Agricultural Transformation Agenda of the Jonathan Administration was replaced by the </w:t>
      </w:r>
      <w:r w:rsidRPr="00C95651">
        <w:rPr>
          <w:rFonts w:ascii="Bookman Old Style" w:hAnsi="Bookman Old Style"/>
        </w:rPr>
        <w:t xml:space="preserve">Agriculture Promotion Policy </w:t>
      </w:r>
      <w:r>
        <w:rPr>
          <w:rFonts w:ascii="Bookman Old Style" w:hAnsi="Bookman Old Style"/>
        </w:rPr>
        <w:t>(</w:t>
      </w:r>
      <w:r w:rsidRPr="00FB6273">
        <w:rPr>
          <w:rFonts w:ascii="Bookman Old Style" w:hAnsi="Bookman Old Style"/>
        </w:rPr>
        <w:t>APP</w:t>
      </w:r>
      <w:r>
        <w:rPr>
          <w:rFonts w:ascii="Bookman Old Style" w:hAnsi="Bookman Old Style"/>
        </w:rPr>
        <w:t>)</w:t>
      </w:r>
      <w:r w:rsidRPr="00FB6273">
        <w:rPr>
          <w:rFonts w:ascii="Bookman Old Style" w:hAnsi="Bookman Old Style"/>
        </w:rPr>
        <w:t xml:space="preserve"> and had as its primary objective the provision of a disciplined approach to building an agribusiness ecosystem that will solve the challenges of high food imports and inability to earn significant for</w:t>
      </w:r>
      <w:r>
        <w:rPr>
          <w:rFonts w:ascii="Bookman Old Style" w:hAnsi="Bookman Old Style"/>
        </w:rPr>
        <w:t>eign exchange from agriculture.</w:t>
      </w:r>
    </w:p>
    <w:p w14:paraId="363FB539" w14:textId="77777777" w:rsidR="00493D7A" w:rsidRDefault="00493D7A" w:rsidP="00493D7A">
      <w:pPr>
        <w:spacing w:after="0" w:line="240" w:lineRule="auto"/>
        <w:jc w:val="both"/>
        <w:rPr>
          <w:rFonts w:ascii="Bookman Old Style" w:hAnsi="Bookman Old Style"/>
        </w:rPr>
      </w:pPr>
    </w:p>
    <w:p w14:paraId="45182326" w14:textId="77777777" w:rsidR="00493D7A" w:rsidRPr="00FB6273" w:rsidRDefault="00493D7A" w:rsidP="00493D7A">
      <w:pPr>
        <w:spacing w:after="0" w:line="240" w:lineRule="auto"/>
        <w:jc w:val="both"/>
        <w:rPr>
          <w:rFonts w:ascii="Bookman Old Style" w:hAnsi="Bookman Old Style"/>
        </w:rPr>
      </w:pPr>
      <w:r w:rsidRPr="00FB6273">
        <w:rPr>
          <w:rFonts w:ascii="Bookman Old Style" w:hAnsi="Bookman Old Style"/>
        </w:rPr>
        <w:t xml:space="preserve">The APP though well intentioned lacks the sort of depth expected of it as it </w:t>
      </w:r>
      <w:r>
        <w:rPr>
          <w:rFonts w:ascii="Bookman Old Style" w:hAnsi="Bookman Old Style"/>
        </w:rPr>
        <w:t xml:space="preserve">failed to address the following fundamentals </w:t>
      </w:r>
      <w:r w:rsidRPr="00FB6273">
        <w:rPr>
          <w:rFonts w:ascii="Bookman Old Style" w:hAnsi="Bookman Old Style"/>
        </w:rPr>
        <w:t>challenges</w:t>
      </w:r>
      <w:r>
        <w:rPr>
          <w:rFonts w:ascii="Bookman Old Style" w:hAnsi="Bookman Old Style"/>
        </w:rPr>
        <w:t>:</w:t>
      </w:r>
    </w:p>
    <w:p w14:paraId="4A0941AB" w14:textId="77777777" w:rsidR="00493D7A" w:rsidRDefault="00493D7A" w:rsidP="00493D7A">
      <w:pPr>
        <w:spacing w:after="0" w:line="240" w:lineRule="auto"/>
        <w:jc w:val="both"/>
        <w:rPr>
          <w:rFonts w:ascii="Bookman Old Style" w:hAnsi="Bookman Old Style"/>
        </w:rPr>
      </w:pPr>
    </w:p>
    <w:p w14:paraId="6029274B" w14:textId="77777777" w:rsidR="00493D7A" w:rsidRDefault="00493D7A" w:rsidP="00493D7A">
      <w:pPr>
        <w:spacing w:after="0" w:line="240" w:lineRule="auto"/>
        <w:jc w:val="both"/>
        <w:rPr>
          <w:rFonts w:ascii="Bookman Old Style" w:hAnsi="Bookman Old Style"/>
        </w:rPr>
      </w:pPr>
      <w:r>
        <w:rPr>
          <w:rFonts w:ascii="Bookman Old Style" w:hAnsi="Bookman Old Style"/>
        </w:rPr>
        <w:t>Firstly, t</w:t>
      </w:r>
      <w:r w:rsidRPr="00FB6273">
        <w:rPr>
          <w:rFonts w:ascii="Bookman Old Style" w:hAnsi="Bookman Old Style"/>
        </w:rPr>
        <w:t>he Nigerian Agricultural Research Services (NARS) with fifteen (15) commodity based research institutions, eleven (11) federal colleges of agriculture, a specialised national agriculture extension institute, over fifty (50) faculties of agriculture in federal universities and three (3) specialised universities of agriculture has consistently failed to provide up to date information and research findings that will aid food production, either for local consumption or for export and the APP provides no clue on how it intends revive NARS to enable it drive the non-oi</w:t>
      </w:r>
      <w:r>
        <w:rPr>
          <w:rFonts w:ascii="Bookman Old Style" w:hAnsi="Bookman Old Style"/>
        </w:rPr>
        <w:t>l export campaigns/projections.</w:t>
      </w:r>
    </w:p>
    <w:p w14:paraId="25D550D9" w14:textId="77777777" w:rsidR="00493D7A" w:rsidRDefault="00493D7A" w:rsidP="00493D7A">
      <w:pPr>
        <w:spacing w:after="0" w:line="240" w:lineRule="auto"/>
        <w:jc w:val="both"/>
        <w:rPr>
          <w:rFonts w:ascii="Bookman Old Style" w:hAnsi="Bookman Old Style"/>
        </w:rPr>
      </w:pPr>
    </w:p>
    <w:p w14:paraId="038B5E31" w14:textId="77777777" w:rsidR="00493D7A" w:rsidRPr="00FB6273" w:rsidRDefault="00493D7A" w:rsidP="00493D7A">
      <w:pPr>
        <w:spacing w:after="0" w:line="240" w:lineRule="auto"/>
        <w:jc w:val="both"/>
        <w:rPr>
          <w:rFonts w:ascii="Bookman Old Style" w:hAnsi="Bookman Old Style"/>
        </w:rPr>
      </w:pPr>
      <w:r>
        <w:rPr>
          <w:rFonts w:ascii="Bookman Old Style" w:hAnsi="Bookman Old Style"/>
        </w:rPr>
        <w:t>Secondly, t</w:t>
      </w:r>
      <w:r w:rsidRPr="00FB6273">
        <w:rPr>
          <w:rFonts w:ascii="Bookman Old Style" w:hAnsi="Bookman Old Style"/>
        </w:rPr>
        <w:t xml:space="preserve">he APP talks about engaging a new generation of farmers to help drive the policy but provides no information on how it intends to do this seeing clearly that we do not have any deliberate youth in agriculture policy or any specific target on bringing more Nigerians into commercial agricultural enterprises. The inability of the ministry to engage new generation of farmers to drive the Cassava bread initiative was a clear indication of how much work needs to be done with a view to learning why our agriculture sector has failed to attract new entrants especially our unemployed youths. </w:t>
      </w:r>
    </w:p>
    <w:p w14:paraId="14A92A9C" w14:textId="77777777" w:rsidR="00493D7A" w:rsidRDefault="00493D7A" w:rsidP="00493D7A">
      <w:pPr>
        <w:spacing w:after="0" w:line="240" w:lineRule="auto"/>
        <w:jc w:val="both"/>
        <w:rPr>
          <w:rFonts w:ascii="Bookman Old Style" w:hAnsi="Bookman Old Style"/>
        </w:rPr>
      </w:pPr>
    </w:p>
    <w:p w14:paraId="38D46DFA" w14:textId="77777777" w:rsidR="00493D7A" w:rsidRPr="00FB6273" w:rsidRDefault="00493D7A" w:rsidP="00493D7A">
      <w:pPr>
        <w:spacing w:after="0" w:line="240" w:lineRule="auto"/>
        <w:jc w:val="both"/>
        <w:rPr>
          <w:rFonts w:ascii="Bookman Old Style" w:hAnsi="Bookman Old Style"/>
        </w:rPr>
      </w:pPr>
      <w:r>
        <w:rPr>
          <w:rFonts w:ascii="Bookman Old Style" w:hAnsi="Bookman Old Style"/>
        </w:rPr>
        <w:t>In addition, t</w:t>
      </w:r>
      <w:r w:rsidRPr="00FB6273">
        <w:rPr>
          <w:rFonts w:ascii="Bookman Old Style" w:hAnsi="Bookman Old Style"/>
        </w:rPr>
        <w:t xml:space="preserve">he APP indicates efforts will be made to create special funds such as the planned </w:t>
      </w:r>
      <w:r>
        <w:rPr>
          <w:rFonts w:ascii="Calibri" w:hAnsi="Calibri" w:cs="Calibri"/>
        </w:rPr>
        <w:t>₦</w:t>
      </w:r>
      <w:r w:rsidRPr="00FB6273">
        <w:rPr>
          <w:rFonts w:ascii="Bookman Old Style" w:hAnsi="Bookman Old Style"/>
        </w:rPr>
        <w:t>10</w:t>
      </w:r>
      <w:r>
        <w:rPr>
          <w:rFonts w:ascii="Bookman Old Style" w:hAnsi="Bookman Old Style"/>
        </w:rPr>
        <w:t xml:space="preserve"> </w:t>
      </w:r>
      <w:r w:rsidRPr="00FB6273">
        <w:rPr>
          <w:rFonts w:ascii="Bookman Old Style" w:hAnsi="Bookman Old Style"/>
        </w:rPr>
        <w:t>b</w:t>
      </w:r>
      <w:r>
        <w:rPr>
          <w:rFonts w:ascii="Bookman Old Style" w:hAnsi="Bookman Old Style"/>
        </w:rPr>
        <w:t>illio</w:t>
      </w:r>
      <w:r w:rsidRPr="00FB6273">
        <w:rPr>
          <w:rFonts w:ascii="Bookman Old Style" w:hAnsi="Bookman Old Style"/>
        </w:rPr>
        <w:t xml:space="preserve">n Cassava fund and Fafin/KFW </w:t>
      </w:r>
      <w:r>
        <w:rPr>
          <w:rFonts w:ascii="Bookman Old Style" w:hAnsi="Bookman Old Style"/>
        </w:rPr>
        <w:t xml:space="preserve">€35 million </w:t>
      </w:r>
      <w:r w:rsidRPr="00FB6273">
        <w:rPr>
          <w:rFonts w:ascii="Bookman Old Style" w:hAnsi="Bookman Old Style"/>
        </w:rPr>
        <w:t xml:space="preserve">facility to drive our production for non-oil export, the crops it has taken as priority crops but fails to indicate if it has undertaken a monitoring, evaluation, research and learning (MERL) to determine why such initiatives as the Cassava bread initiative, CBN </w:t>
      </w:r>
      <w:r>
        <w:rPr>
          <w:rFonts w:ascii="Calibri" w:hAnsi="Calibri" w:cs="Calibri"/>
        </w:rPr>
        <w:t>₦</w:t>
      </w:r>
      <w:r w:rsidRPr="00FB6273">
        <w:rPr>
          <w:rFonts w:ascii="Bookman Old Style" w:hAnsi="Bookman Old Style"/>
        </w:rPr>
        <w:t>220</w:t>
      </w:r>
      <w:r>
        <w:rPr>
          <w:rFonts w:ascii="Bookman Old Style" w:hAnsi="Bookman Old Style"/>
        </w:rPr>
        <w:t xml:space="preserve"> </w:t>
      </w:r>
      <w:r w:rsidRPr="00FB6273">
        <w:rPr>
          <w:rFonts w:ascii="Bookman Old Style" w:hAnsi="Bookman Old Style"/>
        </w:rPr>
        <w:t>b</w:t>
      </w:r>
      <w:r>
        <w:rPr>
          <w:rFonts w:ascii="Bookman Old Style" w:hAnsi="Bookman Old Style"/>
        </w:rPr>
        <w:t>illio</w:t>
      </w:r>
      <w:r w:rsidRPr="00FB6273">
        <w:rPr>
          <w:rFonts w:ascii="Bookman Old Style" w:hAnsi="Bookman Old Style"/>
        </w:rPr>
        <w:t xml:space="preserve">n MSMEDF, CBN/NEXIM </w:t>
      </w:r>
      <w:r>
        <w:rPr>
          <w:rFonts w:ascii="Calibri" w:hAnsi="Calibri" w:cs="Calibri"/>
        </w:rPr>
        <w:t>₦</w:t>
      </w:r>
      <w:r w:rsidRPr="00FB6273">
        <w:rPr>
          <w:rFonts w:ascii="Bookman Old Style" w:hAnsi="Bookman Old Style"/>
        </w:rPr>
        <w:t>300 billion real sector support fund and OLOP have all failed to impact positively on our non-oil export production.</w:t>
      </w:r>
    </w:p>
    <w:p w14:paraId="488BD85A" w14:textId="77777777" w:rsidR="00493D7A" w:rsidRDefault="00493D7A" w:rsidP="00493D7A">
      <w:pPr>
        <w:spacing w:after="0" w:line="240" w:lineRule="auto"/>
        <w:jc w:val="both"/>
        <w:rPr>
          <w:rFonts w:ascii="Bookman Old Style" w:hAnsi="Bookman Old Style"/>
          <w:b/>
        </w:rPr>
      </w:pPr>
    </w:p>
    <w:p w14:paraId="37F7C7F1" w14:textId="77777777" w:rsidR="00493D7A" w:rsidRPr="005D6CD5" w:rsidRDefault="00493D7A" w:rsidP="00493D7A">
      <w:pPr>
        <w:spacing w:after="0" w:line="240" w:lineRule="auto"/>
        <w:jc w:val="both"/>
        <w:rPr>
          <w:rFonts w:ascii="Bookman Old Style" w:hAnsi="Bookman Old Style"/>
          <w:b/>
        </w:rPr>
      </w:pPr>
      <w:r>
        <w:rPr>
          <w:rFonts w:ascii="Bookman Old Style" w:hAnsi="Bookman Old Style"/>
          <w:b/>
        </w:rPr>
        <w:t>1.3</w:t>
      </w:r>
      <w:r w:rsidRPr="005D6CD5">
        <w:rPr>
          <w:rFonts w:ascii="Bookman Old Style" w:hAnsi="Bookman Old Style"/>
          <w:b/>
        </w:rPr>
        <w:tab/>
        <w:t>National En</w:t>
      </w:r>
      <w:r>
        <w:rPr>
          <w:rFonts w:ascii="Bookman Old Style" w:hAnsi="Bookman Old Style"/>
          <w:b/>
        </w:rPr>
        <w:t>terprise Development Programme/O</w:t>
      </w:r>
      <w:r w:rsidRPr="005D6CD5">
        <w:rPr>
          <w:rFonts w:ascii="Bookman Old Style" w:hAnsi="Bookman Old Style"/>
          <w:b/>
        </w:rPr>
        <w:t>ne-Local Government-One Product (NEDEP/OLOP)</w:t>
      </w:r>
    </w:p>
    <w:p w14:paraId="37BE3AD3" w14:textId="77777777" w:rsidR="00493D7A" w:rsidRPr="00FB6273" w:rsidRDefault="00493D7A" w:rsidP="00493D7A">
      <w:pPr>
        <w:spacing w:after="0" w:line="240" w:lineRule="auto"/>
        <w:jc w:val="both"/>
        <w:rPr>
          <w:rFonts w:ascii="Bookman Old Style" w:hAnsi="Bookman Old Style"/>
        </w:rPr>
      </w:pPr>
      <w:r w:rsidRPr="00FB6273">
        <w:rPr>
          <w:rFonts w:ascii="Bookman Old Style" w:hAnsi="Bookman Old Style"/>
        </w:rPr>
        <w:t xml:space="preserve">NEDEP was launched in February 2014 as a component of the National Industrial Revolution Plan </w:t>
      </w:r>
      <w:r>
        <w:rPr>
          <w:rFonts w:ascii="Bookman Old Style" w:hAnsi="Bookman Old Style"/>
        </w:rPr>
        <w:t xml:space="preserve">(NIRP) </w:t>
      </w:r>
      <w:r w:rsidRPr="00FB6273">
        <w:rPr>
          <w:rFonts w:ascii="Bookman Old Style" w:hAnsi="Bookman Old Style"/>
        </w:rPr>
        <w:t>and was meant to spur local production of goods as a means of reducing our import bills for goods we can locally produce in Nigeria. A good initiative it would seem, but as is often the case, the policy was bereft of the depth it should have and implementation approach was faulty.</w:t>
      </w:r>
    </w:p>
    <w:p w14:paraId="17E37511" w14:textId="77777777" w:rsidR="00493D7A" w:rsidRPr="00FB6273" w:rsidRDefault="00493D7A" w:rsidP="00493D7A">
      <w:pPr>
        <w:spacing w:after="0" w:line="240" w:lineRule="auto"/>
        <w:jc w:val="both"/>
        <w:rPr>
          <w:rFonts w:ascii="Bookman Old Style" w:hAnsi="Bookman Old Style"/>
        </w:rPr>
      </w:pPr>
    </w:p>
    <w:p w14:paraId="0C0EBA70" w14:textId="77777777" w:rsidR="00493D7A" w:rsidRPr="00FB6273" w:rsidRDefault="00493D7A" w:rsidP="00493D7A">
      <w:pPr>
        <w:spacing w:after="0" w:line="240" w:lineRule="auto"/>
        <w:jc w:val="both"/>
        <w:rPr>
          <w:rFonts w:ascii="Bookman Old Style" w:hAnsi="Bookman Old Style"/>
        </w:rPr>
      </w:pPr>
      <w:r w:rsidRPr="00FB6273">
        <w:rPr>
          <w:rFonts w:ascii="Bookman Old Style" w:hAnsi="Bookman Old Style"/>
        </w:rPr>
        <w:t>NEDEP/OLOP had no structured approach on how funding would be secured for the entities that would be producing the products across the various local governments and also had no platform for identifying what products can be produced at the local governments and how to support their production.</w:t>
      </w:r>
    </w:p>
    <w:p w14:paraId="2C130313" w14:textId="77777777" w:rsidR="00493D7A" w:rsidRPr="00FB6273" w:rsidRDefault="00493D7A" w:rsidP="00493D7A">
      <w:pPr>
        <w:spacing w:after="0" w:line="240" w:lineRule="auto"/>
        <w:jc w:val="both"/>
        <w:rPr>
          <w:rFonts w:ascii="Bookman Old Style" w:hAnsi="Bookman Old Style"/>
        </w:rPr>
      </w:pPr>
    </w:p>
    <w:p w14:paraId="7069C611" w14:textId="77777777" w:rsidR="00493D7A" w:rsidRPr="00FB6273" w:rsidRDefault="00493D7A" w:rsidP="00493D7A">
      <w:pPr>
        <w:spacing w:after="0" w:line="240" w:lineRule="auto"/>
        <w:jc w:val="both"/>
        <w:rPr>
          <w:rFonts w:ascii="Bookman Old Style" w:hAnsi="Bookman Old Style"/>
        </w:rPr>
      </w:pPr>
      <w:r w:rsidRPr="00FB6273">
        <w:rPr>
          <w:rFonts w:ascii="Bookman Old Style" w:hAnsi="Bookman Old Style"/>
        </w:rPr>
        <w:t xml:space="preserve">NEDEP/OLOP was not designed to advance our production of goods already accepted in both local and foreign markets neither was it conceived to work in partnership with either NEPC or the Federal Ministry of Agriculture to determine </w:t>
      </w:r>
      <w:r w:rsidRPr="00FB6273">
        <w:rPr>
          <w:rFonts w:ascii="Bookman Old Style" w:hAnsi="Bookman Old Style"/>
        </w:rPr>
        <w:lastRenderedPageBreak/>
        <w:t>the best approach to driving the initiative and as such, two years after its launch, the initiative had little or no success to report and today has joined the list of failed intervention initiatives designed to drive our non-oil export.</w:t>
      </w:r>
    </w:p>
    <w:p w14:paraId="24E07609" w14:textId="77777777" w:rsidR="00493D7A" w:rsidRPr="00FB6273" w:rsidRDefault="00493D7A" w:rsidP="00493D7A">
      <w:pPr>
        <w:spacing w:after="0" w:line="240" w:lineRule="auto"/>
        <w:jc w:val="both"/>
        <w:rPr>
          <w:rFonts w:ascii="Bookman Old Style" w:hAnsi="Bookman Old Style"/>
        </w:rPr>
      </w:pPr>
    </w:p>
    <w:p w14:paraId="521CF47C" w14:textId="77777777" w:rsidR="00493D7A" w:rsidRPr="00FB6273" w:rsidRDefault="00493D7A" w:rsidP="00493D7A">
      <w:pPr>
        <w:spacing w:after="0" w:line="240" w:lineRule="auto"/>
        <w:jc w:val="both"/>
        <w:rPr>
          <w:rFonts w:ascii="Bookman Old Style" w:hAnsi="Bookman Old Style"/>
        </w:rPr>
      </w:pPr>
      <w:r w:rsidRPr="00FB6273">
        <w:rPr>
          <w:rFonts w:ascii="Bookman Old Style" w:hAnsi="Bookman Old Style"/>
        </w:rPr>
        <w:t>The inability of the funding interventions</w:t>
      </w:r>
      <w:r>
        <w:rPr>
          <w:rFonts w:ascii="Bookman Old Style" w:hAnsi="Bookman Old Style"/>
        </w:rPr>
        <w:t>/initiatives</w:t>
      </w:r>
      <w:r w:rsidRPr="00FB6273">
        <w:rPr>
          <w:rFonts w:ascii="Bookman Old Style" w:hAnsi="Bookman Old Style"/>
        </w:rPr>
        <w:t xml:space="preserve"> listed above to significantly improve our non-oil export is an indication of the existence of other deep rooted issues that </w:t>
      </w:r>
      <w:r>
        <w:rPr>
          <w:rFonts w:ascii="Bookman Old Style" w:hAnsi="Bookman Old Style"/>
        </w:rPr>
        <w:t xml:space="preserve">urgently needs to be addressed, </w:t>
      </w:r>
      <w:r w:rsidRPr="00FB6273">
        <w:rPr>
          <w:rFonts w:ascii="Bookman Old Style" w:hAnsi="Bookman Old Style"/>
        </w:rPr>
        <w:t xml:space="preserve">issues such as having a geo-mapping across all sub-sectors of our agricultural sector </w:t>
      </w:r>
      <w:r>
        <w:rPr>
          <w:rFonts w:ascii="Bookman Old Style" w:hAnsi="Bookman Old Style"/>
        </w:rPr>
        <w:t>with a comprehensive audit of</w:t>
      </w:r>
      <w:r w:rsidRPr="003A2D0B">
        <w:rPr>
          <w:rFonts w:ascii="Bookman Old Style" w:hAnsi="Bookman Old Style"/>
        </w:rPr>
        <w:t xml:space="preserve"> existing production capacity and to forecast required investment </w:t>
      </w:r>
      <w:r w:rsidRPr="00FB6273">
        <w:rPr>
          <w:rFonts w:ascii="Bookman Old Style" w:hAnsi="Bookman Old Style"/>
        </w:rPr>
        <w:t>with a view to determining the best way to support each sub-sector, this would pro</w:t>
      </w:r>
      <w:r>
        <w:rPr>
          <w:rFonts w:ascii="Bookman Old Style" w:hAnsi="Bookman Old Style"/>
        </w:rPr>
        <w:t xml:space="preserve">vide insights into what sort of </w:t>
      </w:r>
      <w:r w:rsidRPr="00FB6273">
        <w:rPr>
          <w:rFonts w:ascii="Bookman Old Style" w:hAnsi="Bookman Old Style"/>
        </w:rPr>
        <w:t xml:space="preserve">financing </w:t>
      </w:r>
      <w:r>
        <w:rPr>
          <w:rFonts w:ascii="Bookman Old Style" w:hAnsi="Bookman Old Style"/>
        </w:rPr>
        <w:t xml:space="preserve">services </w:t>
      </w:r>
      <w:r w:rsidRPr="00FB6273">
        <w:rPr>
          <w:rFonts w:ascii="Bookman Old Style" w:hAnsi="Bookman Old Style"/>
        </w:rPr>
        <w:t>is needed by each sub-sector and what combin</w:t>
      </w:r>
      <w:r>
        <w:rPr>
          <w:rFonts w:ascii="Bookman Old Style" w:hAnsi="Bookman Old Style"/>
        </w:rPr>
        <w:t xml:space="preserve">ation of non-financial intervention </w:t>
      </w:r>
      <w:r w:rsidRPr="00FB6273">
        <w:rPr>
          <w:rFonts w:ascii="Bookman Old Style" w:hAnsi="Bookman Old Style"/>
        </w:rPr>
        <w:t>is needed by each to thrive.</w:t>
      </w:r>
    </w:p>
    <w:p w14:paraId="3BDC223F" w14:textId="77777777" w:rsidR="00493D7A" w:rsidRDefault="00493D7A"/>
    <w:p w14:paraId="071AA5A1" w14:textId="77777777" w:rsidR="00493D7A" w:rsidRDefault="00493D7A"/>
    <w:p w14:paraId="2450C3B1" w14:textId="77777777" w:rsidR="00493D7A" w:rsidRDefault="00493D7A"/>
    <w:p w14:paraId="49702B9A" w14:textId="77777777" w:rsidR="00493D7A" w:rsidRDefault="00493D7A"/>
    <w:p w14:paraId="6F4585AA" w14:textId="77777777" w:rsidR="00493D7A" w:rsidRDefault="00493D7A"/>
    <w:p w14:paraId="5925B8FA" w14:textId="77777777" w:rsidR="00493D7A" w:rsidRDefault="00493D7A"/>
    <w:p w14:paraId="17363028" w14:textId="77777777" w:rsidR="00493D7A" w:rsidRDefault="00493D7A"/>
    <w:p w14:paraId="14E22023" w14:textId="77777777" w:rsidR="00493D7A" w:rsidRDefault="00493D7A"/>
    <w:p w14:paraId="41F79BA2" w14:textId="77777777" w:rsidR="00493D7A" w:rsidRDefault="00493D7A"/>
    <w:p w14:paraId="531A632D" w14:textId="77777777" w:rsidR="00493D7A" w:rsidRDefault="00493D7A"/>
    <w:p w14:paraId="365BA092" w14:textId="77777777" w:rsidR="00493D7A" w:rsidRDefault="00493D7A"/>
    <w:p w14:paraId="742BD81A" w14:textId="77777777" w:rsidR="00493D7A" w:rsidRDefault="00493D7A"/>
    <w:p w14:paraId="510E6032" w14:textId="77777777" w:rsidR="00493D7A" w:rsidRDefault="00493D7A"/>
    <w:p w14:paraId="2F8D36A8" w14:textId="77777777" w:rsidR="00493D7A" w:rsidRDefault="00493D7A"/>
    <w:p w14:paraId="5776925D" w14:textId="77777777" w:rsidR="00493D7A" w:rsidRDefault="00493D7A"/>
    <w:p w14:paraId="7AD9D0A0" w14:textId="77777777" w:rsidR="00493D7A" w:rsidRDefault="00493D7A"/>
    <w:p w14:paraId="112577F9" w14:textId="77777777" w:rsidR="00493D7A" w:rsidRDefault="00493D7A"/>
    <w:p w14:paraId="65784A05" w14:textId="77777777" w:rsidR="00493D7A" w:rsidRDefault="00493D7A"/>
    <w:p w14:paraId="52BC955B" w14:textId="77777777" w:rsidR="00493D7A" w:rsidRDefault="00493D7A"/>
    <w:p w14:paraId="27BAA159" w14:textId="77777777" w:rsidR="00493D7A" w:rsidRDefault="00493D7A"/>
    <w:p w14:paraId="3DCC8C47" w14:textId="77777777" w:rsidR="00493D7A" w:rsidRDefault="00493D7A"/>
    <w:p w14:paraId="50645A2E" w14:textId="6F6686D1" w:rsidR="00953A07" w:rsidRDefault="00953A07" w:rsidP="00953A07"/>
    <w:p w14:paraId="4B4EF171" w14:textId="5BB64023" w:rsidR="00185FC4" w:rsidRDefault="00185FC4" w:rsidP="00953A07"/>
    <w:p w14:paraId="79C75DCC" w14:textId="77777777" w:rsidR="00185FC4" w:rsidRDefault="00185FC4" w:rsidP="00953A07"/>
    <w:p w14:paraId="5CEC4F09" w14:textId="77777777" w:rsidR="00DD21A5" w:rsidRDefault="00DD21A5" w:rsidP="00953A07">
      <w:pPr>
        <w:rPr>
          <w:rFonts w:ascii="Bookman Old Style" w:hAnsi="Bookman Old Style"/>
          <w:b/>
          <w:sz w:val="24"/>
          <w:szCs w:val="24"/>
        </w:rPr>
      </w:pPr>
    </w:p>
    <w:p w14:paraId="32DBCCC2" w14:textId="77777777" w:rsidR="00493D7A" w:rsidRPr="0044041A" w:rsidRDefault="0044041A" w:rsidP="00AF6713">
      <w:pPr>
        <w:rPr>
          <w:rFonts w:ascii="Bookman Old Style" w:hAnsi="Bookman Old Style"/>
          <w:b/>
          <w:sz w:val="24"/>
          <w:szCs w:val="24"/>
        </w:rPr>
      </w:pPr>
      <w:r w:rsidRPr="0044041A">
        <w:rPr>
          <w:rFonts w:ascii="Bookman Old Style" w:hAnsi="Bookman Old Style"/>
          <w:b/>
          <w:sz w:val="24"/>
          <w:szCs w:val="24"/>
        </w:rPr>
        <w:t>SECTION</w:t>
      </w:r>
      <w:r w:rsidR="00AF6713">
        <w:rPr>
          <w:rFonts w:ascii="Bookman Old Style" w:hAnsi="Bookman Old Style"/>
          <w:b/>
          <w:sz w:val="24"/>
          <w:szCs w:val="24"/>
        </w:rPr>
        <w:t xml:space="preserve"> 2: </w:t>
      </w:r>
      <w:r w:rsidR="00493D7A" w:rsidRPr="0044041A">
        <w:rPr>
          <w:rFonts w:ascii="Bookman Old Style" w:hAnsi="Bookman Old Style"/>
          <w:b/>
          <w:sz w:val="24"/>
          <w:szCs w:val="24"/>
        </w:rPr>
        <w:t>FACTORS INHIBITING ACTUALISATION OF TRUE EXPORT POTENTIALS</w:t>
      </w:r>
    </w:p>
    <w:p w14:paraId="354B0BD7" w14:textId="77777777" w:rsidR="00493D7A" w:rsidRPr="006314B2" w:rsidRDefault="00493D7A" w:rsidP="00493D7A">
      <w:pPr>
        <w:jc w:val="both"/>
        <w:rPr>
          <w:rFonts w:ascii="Bookman Old Style" w:hAnsi="Bookman Old Style"/>
          <w:sz w:val="24"/>
          <w:szCs w:val="24"/>
        </w:rPr>
      </w:pPr>
      <w:r w:rsidRPr="006314B2">
        <w:rPr>
          <w:rFonts w:ascii="Bookman Old Style" w:hAnsi="Bookman Old Style"/>
          <w:sz w:val="24"/>
          <w:szCs w:val="24"/>
        </w:rPr>
        <w:t>With the prevailing economic recession, the need to diversify the economy from oil to non-oil export has become more critical. This has remained the avowed focus of the federal government with the intention that development of the non-oil export process would serve as catalyst to revamp the ailing economy.</w:t>
      </w:r>
    </w:p>
    <w:p w14:paraId="1B11F706" w14:textId="77777777" w:rsidR="00493D7A" w:rsidRPr="006314B2" w:rsidRDefault="00493D7A" w:rsidP="00493D7A">
      <w:pPr>
        <w:jc w:val="both"/>
        <w:rPr>
          <w:rFonts w:ascii="Bookman Old Style" w:hAnsi="Bookman Old Style"/>
          <w:sz w:val="24"/>
          <w:szCs w:val="24"/>
        </w:rPr>
      </w:pPr>
      <w:r w:rsidRPr="006314B2">
        <w:rPr>
          <w:rFonts w:ascii="Bookman Old Style" w:hAnsi="Bookman Old Style"/>
          <w:sz w:val="24"/>
          <w:szCs w:val="24"/>
        </w:rPr>
        <w:t>Having identified non-oil export as a leading priority for economic recovery, government has over the years deployed several attempts to develop export oriented trade strategies and stimulus to encourage export expansion.</w:t>
      </w:r>
    </w:p>
    <w:p w14:paraId="1B3E5256" w14:textId="77777777" w:rsidR="00493D7A" w:rsidRPr="006314B2" w:rsidRDefault="00493D7A" w:rsidP="00493D7A">
      <w:pPr>
        <w:jc w:val="both"/>
        <w:rPr>
          <w:rFonts w:ascii="Bookman Old Style" w:hAnsi="Bookman Old Style"/>
          <w:sz w:val="24"/>
          <w:szCs w:val="24"/>
        </w:rPr>
      </w:pPr>
      <w:r w:rsidRPr="006314B2">
        <w:rPr>
          <w:rFonts w:ascii="Bookman Old Style" w:hAnsi="Bookman Old Style"/>
          <w:sz w:val="24"/>
          <w:szCs w:val="24"/>
        </w:rPr>
        <w:t>However, the desire for export promotion is hindered by the following barriers that require constructive intervention to achieve the strategic economic objective:</w:t>
      </w:r>
      <w:r w:rsidRPr="006314B2">
        <w:rPr>
          <w:rFonts w:ascii="Bookman Old Style" w:hAnsi="Bookman Old Style"/>
          <w:sz w:val="24"/>
          <w:szCs w:val="24"/>
        </w:rPr>
        <w:br/>
      </w:r>
    </w:p>
    <w:p w14:paraId="55163A2B" w14:textId="296082D3" w:rsidR="00493D7A" w:rsidRPr="00AA443C" w:rsidRDefault="00AA443C" w:rsidP="00493D7A">
      <w:pPr>
        <w:pStyle w:val="ListParagraph"/>
        <w:numPr>
          <w:ilvl w:val="1"/>
          <w:numId w:val="76"/>
        </w:numPr>
        <w:jc w:val="both"/>
        <w:rPr>
          <w:rFonts w:ascii="Bookman Old Style" w:hAnsi="Bookman Old Style"/>
          <w:b/>
          <w:sz w:val="24"/>
          <w:szCs w:val="24"/>
        </w:rPr>
      </w:pPr>
      <w:r>
        <w:rPr>
          <w:rFonts w:ascii="Bookman Old Style" w:hAnsi="Bookman Old Style"/>
          <w:b/>
          <w:sz w:val="24"/>
          <w:szCs w:val="24"/>
        </w:rPr>
        <w:t xml:space="preserve">Information Factors </w:t>
      </w:r>
    </w:p>
    <w:p w14:paraId="50C26C98" w14:textId="77777777" w:rsidR="00493D7A" w:rsidRPr="006314B2" w:rsidRDefault="00493D7A" w:rsidP="00493D7A">
      <w:pPr>
        <w:pStyle w:val="ListParagraph"/>
        <w:numPr>
          <w:ilvl w:val="0"/>
          <w:numId w:val="5"/>
        </w:numPr>
        <w:jc w:val="both"/>
        <w:rPr>
          <w:rFonts w:ascii="Bookman Old Style" w:hAnsi="Bookman Old Style"/>
          <w:sz w:val="24"/>
          <w:szCs w:val="24"/>
        </w:rPr>
      </w:pPr>
      <w:r w:rsidRPr="006314B2">
        <w:rPr>
          <w:rFonts w:ascii="Bookman Old Style" w:hAnsi="Bookman Old Style"/>
          <w:sz w:val="24"/>
          <w:szCs w:val="24"/>
        </w:rPr>
        <w:t>Lack of information relating to export activity</w:t>
      </w:r>
    </w:p>
    <w:p w14:paraId="4DCCEF6A" w14:textId="77777777" w:rsidR="00493D7A" w:rsidRPr="006314B2" w:rsidRDefault="00493D7A" w:rsidP="00493D7A">
      <w:pPr>
        <w:pStyle w:val="ListParagraph"/>
        <w:numPr>
          <w:ilvl w:val="0"/>
          <w:numId w:val="5"/>
        </w:numPr>
        <w:jc w:val="both"/>
        <w:rPr>
          <w:rFonts w:ascii="Bookman Old Style" w:hAnsi="Bookman Old Style"/>
          <w:sz w:val="24"/>
          <w:szCs w:val="24"/>
        </w:rPr>
      </w:pPr>
      <w:r w:rsidRPr="006314B2">
        <w:rPr>
          <w:rFonts w:ascii="Bookman Old Style" w:hAnsi="Bookman Old Style"/>
          <w:sz w:val="24"/>
          <w:szCs w:val="24"/>
        </w:rPr>
        <w:t>Lack of knowledge about foreign markets</w:t>
      </w:r>
    </w:p>
    <w:p w14:paraId="4A099A70" w14:textId="77777777" w:rsidR="00493D7A" w:rsidRPr="006314B2" w:rsidRDefault="00493D7A" w:rsidP="00493D7A">
      <w:pPr>
        <w:pStyle w:val="ListParagraph"/>
        <w:numPr>
          <w:ilvl w:val="0"/>
          <w:numId w:val="5"/>
        </w:numPr>
        <w:jc w:val="both"/>
        <w:rPr>
          <w:rFonts w:ascii="Bookman Old Style" w:hAnsi="Bookman Old Style"/>
          <w:sz w:val="24"/>
          <w:szCs w:val="24"/>
        </w:rPr>
      </w:pPr>
      <w:r w:rsidRPr="006314B2">
        <w:rPr>
          <w:rFonts w:ascii="Bookman Old Style" w:hAnsi="Bookman Old Style"/>
          <w:sz w:val="24"/>
          <w:szCs w:val="24"/>
        </w:rPr>
        <w:t>Identifying opportunities in export markets</w:t>
      </w:r>
    </w:p>
    <w:p w14:paraId="6D7687DC" w14:textId="77777777" w:rsidR="00493D7A" w:rsidRPr="006314B2" w:rsidRDefault="00493D7A" w:rsidP="00493D7A">
      <w:pPr>
        <w:pStyle w:val="ListParagraph"/>
        <w:numPr>
          <w:ilvl w:val="0"/>
          <w:numId w:val="5"/>
        </w:numPr>
        <w:jc w:val="both"/>
        <w:rPr>
          <w:rFonts w:ascii="Bookman Old Style" w:hAnsi="Bookman Old Style"/>
          <w:sz w:val="24"/>
          <w:szCs w:val="24"/>
        </w:rPr>
      </w:pPr>
      <w:r w:rsidRPr="006314B2">
        <w:rPr>
          <w:rFonts w:ascii="Bookman Old Style" w:hAnsi="Bookman Old Style"/>
          <w:sz w:val="24"/>
          <w:szCs w:val="24"/>
        </w:rPr>
        <w:t>Lack of awareness of export assistance</w:t>
      </w:r>
    </w:p>
    <w:p w14:paraId="77470691" w14:textId="77777777" w:rsidR="00493D7A" w:rsidRPr="006314B2" w:rsidRDefault="00493D7A" w:rsidP="00493D7A">
      <w:pPr>
        <w:pStyle w:val="ListParagraph"/>
        <w:numPr>
          <w:ilvl w:val="0"/>
          <w:numId w:val="5"/>
        </w:numPr>
        <w:jc w:val="both"/>
        <w:rPr>
          <w:rFonts w:ascii="Bookman Old Style" w:hAnsi="Bookman Old Style"/>
          <w:sz w:val="24"/>
          <w:szCs w:val="24"/>
        </w:rPr>
      </w:pPr>
      <w:r w:rsidRPr="006314B2">
        <w:rPr>
          <w:rFonts w:ascii="Bookman Old Style" w:hAnsi="Bookman Old Style"/>
          <w:sz w:val="24"/>
          <w:szCs w:val="24"/>
        </w:rPr>
        <w:t>Lack of awareness of benefits of export markets</w:t>
      </w:r>
    </w:p>
    <w:p w14:paraId="7AD3EE6B" w14:textId="77777777" w:rsidR="00493D7A" w:rsidRPr="006314B2" w:rsidRDefault="00493D7A" w:rsidP="00493D7A">
      <w:pPr>
        <w:pStyle w:val="ListParagraph"/>
        <w:numPr>
          <w:ilvl w:val="0"/>
          <w:numId w:val="5"/>
        </w:numPr>
        <w:jc w:val="both"/>
        <w:rPr>
          <w:rFonts w:ascii="Bookman Old Style" w:hAnsi="Bookman Old Style"/>
          <w:sz w:val="24"/>
          <w:szCs w:val="24"/>
        </w:rPr>
      </w:pPr>
      <w:r w:rsidRPr="006314B2">
        <w:rPr>
          <w:rFonts w:ascii="Bookman Old Style" w:hAnsi="Bookman Old Style"/>
          <w:sz w:val="24"/>
          <w:szCs w:val="24"/>
        </w:rPr>
        <w:t>Lack of knowledge of best potential markets</w:t>
      </w:r>
    </w:p>
    <w:p w14:paraId="2F6E87EB" w14:textId="77777777" w:rsidR="00493D7A" w:rsidRPr="006314B2" w:rsidRDefault="00493D7A" w:rsidP="00493D7A">
      <w:pPr>
        <w:pStyle w:val="ListParagraph"/>
        <w:numPr>
          <w:ilvl w:val="0"/>
          <w:numId w:val="5"/>
        </w:numPr>
        <w:jc w:val="both"/>
        <w:rPr>
          <w:rFonts w:ascii="Bookman Old Style" w:hAnsi="Bookman Old Style"/>
          <w:sz w:val="24"/>
          <w:szCs w:val="24"/>
        </w:rPr>
      </w:pPr>
      <w:r w:rsidRPr="006314B2">
        <w:rPr>
          <w:rFonts w:ascii="Bookman Old Style" w:hAnsi="Bookman Old Style"/>
          <w:sz w:val="24"/>
          <w:szCs w:val="24"/>
        </w:rPr>
        <w:t>Lack of qualified staff</w:t>
      </w:r>
    </w:p>
    <w:p w14:paraId="3E60FE64" w14:textId="77777777" w:rsidR="00493D7A" w:rsidRPr="006314B2" w:rsidRDefault="00493D7A" w:rsidP="00493D7A">
      <w:pPr>
        <w:pStyle w:val="ListParagraph"/>
        <w:numPr>
          <w:ilvl w:val="0"/>
          <w:numId w:val="5"/>
        </w:numPr>
        <w:jc w:val="both"/>
        <w:rPr>
          <w:rFonts w:ascii="Bookman Old Style" w:hAnsi="Bookman Old Style"/>
          <w:sz w:val="24"/>
          <w:szCs w:val="24"/>
        </w:rPr>
      </w:pPr>
      <w:r w:rsidRPr="006314B2">
        <w:rPr>
          <w:rFonts w:ascii="Bookman Old Style" w:hAnsi="Bookman Old Style"/>
          <w:sz w:val="24"/>
          <w:szCs w:val="24"/>
        </w:rPr>
        <w:t>Lack of knowledge of how to enter the export market</w:t>
      </w:r>
    </w:p>
    <w:p w14:paraId="2A0C08C3" w14:textId="77777777" w:rsidR="00493D7A" w:rsidRPr="006314B2" w:rsidRDefault="00493D7A" w:rsidP="00493D7A">
      <w:pPr>
        <w:pStyle w:val="ListParagraph"/>
        <w:ind w:left="644"/>
        <w:jc w:val="both"/>
        <w:rPr>
          <w:rFonts w:ascii="Bookman Old Style" w:hAnsi="Bookman Old Style"/>
          <w:sz w:val="24"/>
          <w:szCs w:val="24"/>
        </w:rPr>
      </w:pPr>
    </w:p>
    <w:p w14:paraId="13FA47F5" w14:textId="2E30F5DB" w:rsidR="00493D7A" w:rsidRPr="00AA443C" w:rsidRDefault="00AA443C" w:rsidP="00AA443C">
      <w:pPr>
        <w:pStyle w:val="ListParagraph"/>
        <w:numPr>
          <w:ilvl w:val="1"/>
          <w:numId w:val="76"/>
        </w:numPr>
        <w:jc w:val="both"/>
        <w:rPr>
          <w:rFonts w:ascii="Bookman Old Style" w:hAnsi="Bookman Old Style"/>
          <w:b/>
          <w:sz w:val="24"/>
          <w:szCs w:val="24"/>
        </w:rPr>
      </w:pPr>
      <w:r>
        <w:rPr>
          <w:rFonts w:ascii="Bookman Old Style" w:hAnsi="Bookman Old Style"/>
          <w:b/>
          <w:sz w:val="24"/>
          <w:szCs w:val="24"/>
        </w:rPr>
        <w:t xml:space="preserve">Resource Factors </w:t>
      </w:r>
    </w:p>
    <w:p w14:paraId="03A73BED" w14:textId="77777777" w:rsidR="00493D7A" w:rsidRPr="006314B2" w:rsidRDefault="00493D7A" w:rsidP="00493D7A">
      <w:pPr>
        <w:pStyle w:val="ListParagraph"/>
        <w:numPr>
          <w:ilvl w:val="0"/>
          <w:numId w:val="6"/>
        </w:numPr>
        <w:jc w:val="both"/>
        <w:rPr>
          <w:rFonts w:ascii="Bookman Old Style" w:hAnsi="Bookman Old Style"/>
          <w:sz w:val="24"/>
          <w:szCs w:val="24"/>
        </w:rPr>
      </w:pPr>
      <w:r w:rsidRPr="006314B2">
        <w:rPr>
          <w:rFonts w:ascii="Bookman Old Style" w:hAnsi="Bookman Old Style"/>
          <w:sz w:val="24"/>
          <w:szCs w:val="24"/>
        </w:rPr>
        <w:t>Lack of financial capacity</w:t>
      </w:r>
    </w:p>
    <w:p w14:paraId="41B2B63C" w14:textId="77777777" w:rsidR="00493D7A" w:rsidRPr="006314B2" w:rsidRDefault="00493D7A" w:rsidP="00493D7A">
      <w:pPr>
        <w:pStyle w:val="ListParagraph"/>
        <w:numPr>
          <w:ilvl w:val="0"/>
          <w:numId w:val="6"/>
        </w:numPr>
        <w:jc w:val="both"/>
        <w:rPr>
          <w:rFonts w:ascii="Bookman Old Style" w:hAnsi="Bookman Old Style"/>
          <w:sz w:val="24"/>
          <w:szCs w:val="24"/>
        </w:rPr>
      </w:pPr>
      <w:r w:rsidRPr="006314B2">
        <w:rPr>
          <w:rFonts w:ascii="Bookman Old Style" w:hAnsi="Bookman Old Style"/>
          <w:sz w:val="24"/>
          <w:szCs w:val="24"/>
        </w:rPr>
        <w:t>Inadequate and inefficient infrastructure</w:t>
      </w:r>
    </w:p>
    <w:p w14:paraId="0005EC0D" w14:textId="77777777" w:rsidR="00493D7A" w:rsidRPr="006314B2" w:rsidRDefault="00493D7A" w:rsidP="00493D7A">
      <w:pPr>
        <w:pStyle w:val="ListParagraph"/>
        <w:numPr>
          <w:ilvl w:val="0"/>
          <w:numId w:val="6"/>
        </w:numPr>
        <w:jc w:val="both"/>
        <w:rPr>
          <w:rFonts w:ascii="Bookman Old Style" w:hAnsi="Bookman Old Style"/>
          <w:sz w:val="24"/>
          <w:szCs w:val="24"/>
        </w:rPr>
      </w:pPr>
      <w:r w:rsidRPr="006314B2">
        <w:rPr>
          <w:rFonts w:ascii="Bookman Old Style" w:hAnsi="Bookman Old Style"/>
          <w:sz w:val="24"/>
          <w:szCs w:val="24"/>
        </w:rPr>
        <w:t>Lack of personnel to devote time on export activities</w:t>
      </w:r>
    </w:p>
    <w:p w14:paraId="7E3D5070" w14:textId="77777777" w:rsidR="00493D7A" w:rsidRPr="006314B2" w:rsidRDefault="00493D7A" w:rsidP="00493D7A">
      <w:pPr>
        <w:pStyle w:val="ListParagraph"/>
        <w:numPr>
          <w:ilvl w:val="0"/>
          <w:numId w:val="6"/>
        </w:numPr>
        <w:jc w:val="both"/>
        <w:rPr>
          <w:rFonts w:ascii="Bookman Old Style" w:hAnsi="Bookman Old Style"/>
          <w:sz w:val="24"/>
          <w:szCs w:val="24"/>
        </w:rPr>
      </w:pPr>
      <w:r w:rsidRPr="006314B2">
        <w:rPr>
          <w:rFonts w:ascii="Bookman Old Style" w:hAnsi="Bookman Old Style"/>
          <w:sz w:val="24"/>
          <w:szCs w:val="24"/>
        </w:rPr>
        <w:t>Difficult to access and high interest rate on export funds</w:t>
      </w:r>
    </w:p>
    <w:p w14:paraId="1143CEDB" w14:textId="77777777" w:rsidR="00493D7A" w:rsidRPr="006314B2" w:rsidRDefault="00493D7A" w:rsidP="00493D7A">
      <w:pPr>
        <w:pStyle w:val="ListParagraph"/>
        <w:numPr>
          <w:ilvl w:val="0"/>
          <w:numId w:val="6"/>
        </w:numPr>
        <w:jc w:val="both"/>
        <w:rPr>
          <w:rFonts w:ascii="Bookman Old Style" w:hAnsi="Bookman Old Style"/>
          <w:sz w:val="24"/>
          <w:szCs w:val="24"/>
        </w:rPr>
      </w:pPr>
      <w:r w:rsidRPr="006314B2">
        <w:rPr>
          <w:rFonts w:ascii="Bookman Old Style" w:hAnsi="Bookman Old Style"/>
          <w:sz w:val="24"/>
          <w:szCs w:val="24"/>
        </w:rPr>
        <w:t>Internal constraints like honouring letters of credit</w:t>
      </w:r>
    </w:p>
    <w:p w14:paraId="716353B0" w14:textId="77777777" w:rsidR="00493D7A" w:rsidRPr="006314B2" w:rsidRDefault="00493D7A" w:rsidP="00493D7A">
      <w:pPr>
        <w:pStyle w:val="ListParagraph"/>
        <w:numPr>
          <w:ilvl w:val="0"/>
          <w:numId w:val="6"/>
        </w:numPr>
        <w:jc w:val="both"/>
        <w:rPr>
          <w:rFonts w:ascii="Bookman Old Style" w:hAnsi="Bookman Old Style"/>
          <w:sz w:val="24"/>
          <w:szCs w:val="24"/>
        </w:rPr>
      </w:pPr>
      <w:r w:rsidRPr="006314B2">
        <w:rPr>
          <w:rFonts w:ascii="Bookman Old Style" w:hAnsi="Bookman Old Style"/>
          <w:sz w:val="24"/>
          <w:szCs w:val="24"/>
        </w:rPr>
        <w:t>Reliance on external support resources like banks.</w:t>
      </w:r>
    </w:p>
    <w:p w14:paraId="0A8E869E" w14:textId="77777777" w:rsidR="00493D7A" w:rsidRPr="006314B2" w:rsidRDefault="00493D7A" w:rsidP="00493D7A">
      <w:pPr>
        <w:pStyle w:val="ListParagraph"/>
        <w:numPr>
          <w:ilvl w:val="0"/>
          <w:numId w:val="6"/>
        </w:numPr>
        <w:jc w:val="both"/>
        <w:rPr>
          <w:rFonts w:ascii="Bookman Old Style" w:hAnsi="Bookman Old Style"/>
          <w:sz w:val="24"/>
          <w:szCs w:val="24"/>
        </w:rPr>
      </w:pPr>
      <w:r w:rsidRPr="006314B2">
        <w:rPr>
          <w:rFonts w:ascii="Bookman Old Style" w:hAnsi="Bookman Old Style"/>
          <w:sz w:val="24"/>
          <w:szCs w:val="24"/>
        </w:rPr>
        <w:t>Absence of in-country capacity for processing and high quality packaging</w:t>
      </w:r>
    </w:p>
    <w:p w14:paraId="18CF22A8" w14:textId="77777777" w:rsidR="00493D7A" w:rsidRPr="006314B2" w:rsidRDefault="00493D7A" w:rsidP="00493D7A">
      <w:pPr>
        <w:pStyle w:val="ListParagraph"/>
        <w:numPr>
          <w:ilvl w:val="0"/>
          <w:numId w:val="6"/>
        </w:numPr>
        <w:jc w:val="both"/>
        <w:rPr>
          <w:rFonts w:ascii="Bookman Old Style" w:hAnsi="Bookman Old Style"/>
          <w:sz w:val="24"/>
          <w:szCs w:val="24"/>
        </w:rPr>
      </w:pPr>
      <w:r w:rsidRPr="006314B2">
        <w:rPr>
          <w:rFonts w:ascii="Bookman Old Style" w:hAnsi="Bookman Old Style"/>
          <w:sz w:val="24"/>
          <w:szCs w:val="24"/>
        </w:rPr>
        <w:t>Lack of sufficient mechanised capacity for high volume agricultural production</w:t>
      </w:r>
    </w:p>
    <w:p w14:paraId="5D7156E7" w14:textId="77777777" w:rsidR="00493D7A" w:rsidRPr="006314B2" w:rsidRDefault="00493D7A" w:rsidP="00493D7A">
      <w:pPr>
        <w:pStyle w:val="ListParagraph"/>
        <w:ind w:left="644"/>
        <w:jc w:val="both"/>
        <w:rPr>
          <w:rFonts w:ascii="Bookman Old Style" w:hAnsi="Bookman Old Style"/>
          <w:sz w:val="24"/>
          <w:szCs w:val="24"/>
        </w:rPr>
      </w:pPr>
    </w:p>
    <w:p w14:paraId="601FCDE2" w14:textId="77777777" w:rsidR="00493D7A" w:rsidRPr="006314B2" w:rsidRDefault="00493D7A" w:rsidP="00493D7A">
      <w:pPr>
        <w:pStyle w:val="ListParagraph"/>
        <w:ind w:left="644"/>
        <w:jc w:val="both"/>
        <w:rPr>
          <w:rFonts w:ascii="Bookman Old Style" w:hAnsi="Bookman Old Style"/>
          <w:sz w:val="24"/>
          <w:szCs w:val="24"/>
        </w:rPr>
      </w:pPr>
    </w:p>
    <w:p w14:paraId="5239ACFD" w14:textId="33AEFDDB" w:rsidR="00493D7A" w:rsidRPr="00AA443C" w:rsidRDefault="00AA443C" w:rsidP="00493D7A">
      <w:pPr>
        <w:pStyle w:val="ListParagraph"/>
        <w:numPr>
          <w:ilvl w:val="1"/>
          <w:numId w:val="76"/>
        </w:numPr>
        <w:jc w:val="both"/>
        <w:rPr>
          <w:rFonts w:ascii="Bookman Old Style" w:hAnsi="Bookman Old Style"/>
          <w:b/>
          <w:sz w:val="24"/>
          <w:szCs w:val="24"/>
        </w:rPr>
      </w:pPr>
      <w:r>
        <w:rPr>
          <w:rFonts w:ascii="Bookman Old Style" w:hAnsi="Bookman Old Style"/>
          <w:b/>
          <w:sz w:val="24"/>
          <w:szCs w:val="24"/>
        </w:rPr>
        <w:t>Procedural Factors</w:t>
      </w:r>
    </w:p>
    <w:p w14:paraId="09AE39AF" w14:textId="77777777" w:rsidR="00493D7A" w:rsidRPr="006314B2" w:rsidRDefault="00493D7A" w:rsidP="00493D7A">
      <w:pPr>
        <w:pStyle w:val="ListParagraph"/>
        <w:numPr>
          <w:ilvl w:val="0"/>
          <w:numId w:val="7"/>
        </w:numPr>
        <w:jc w:val="both"/>
        <w:rPr>
          <w:rFonts w:ascii="Bookman Old Style" w:hAnsi="Bookman Old Style"/>
          <w:sz w:val="24"/>
          <w:szCs w:val="24"/>
        </w:rPr>
      </w:pPr>
      <w:r w:rsidRPr="006314B2">
        <w:rPr>
          <w:rFonts w:ascii="Bookman Old Style" w:hAnsi="Bookman Old Style"/>
          <w:sz w:val="24"/>
          <w:szCs w:val="24"/>
        </w:rPr>
        <w:lastRenderedPageBreak/>
        <w:t>Lengthy and cumbersome documentation process on export (Red tape)</w:t>
      </w:r>
    </w:p>
    <w:p w14:paraId="7BE7A4E5" w14:textId="77777777" w:rsidR="00493D7A" w:rsidRPr="006314B2" w:rsidRDefault="00493D7A" w:rsidP="00493D7A">
      <w:pPr>
        <w:pStyle w:val="ListParagraph"/>
        <w:numPr>
          <w:ilvl w:val="0"/>
          <w:numId w:val="7"/>
        </w:numPr>
        <w:jc w:val="both"/>
        <w:rPr>
          <w:rFonts w:ascii="Bookman Old Style" w:hAnsi="Bookman Old Style"/>
          <w:sz w:val="24"/>
          <w:szCs w:val="24"/>
        </w:rPr>
      </w:pPr>
      <w:r w:rsidRPr="006314B2">
        <w:rPr>
          <w:rFonts w:ascii="Bookman Old Style" w:hAnsi="Bookman Old Style"/>
          <w:sz w:val="24"/>
          <w:szCs w:val="24"/>
        </w:rPr>
        <w:t>Import tariffs in destination export market</w:t>
      </w:r>
    </w:p>
    <w:p w14:paraId="00ADD97C" w14:textId="77777777" w:rsidR="00493D7A" w:rsidRPr="006314B2" w:rsidRDefault="00493D7A" w:rsidP="00493D7A">
      <w:pPr>
        <w:pStyle w:val="ListParagraph"/>
        <w:numPr>
          <w:ilvl w:val="0"/>
          <w:numId w:val="7"/>
        </w:numPr>
        <w:jc w:val="both"/>
        <w:rPr>
          <w:rFonts w:ascii="Bookman Old Style" w:hAnsi="Bookman Old Style"/>
          <w:sz w:val="24"/>
          <w:szCs w:val="24"/>
        </w:rPr>
      </w:pPr>
      <w:r w:rsidRPr="006314B2">
        <w:rPr>
          <w:rFonts w:ascii="Bookman Old Style" w:hAnsi="Bookman Old Style"/>
          <w:sz w:val="24"/>
          <w:szCs w:val="24"/>
        </w:rPr>
        <w:t>Non-tariff barriers (technical barriers)</w:t>
      </w:r>
    </w:p>
    <w:p w14:paraId="287D19EE" w14:textId="77777777" w:rsidR="00493D7A" w:rsidRPr="006314B2" w:rsidRDefault="00493D7A" w:rsidP="00493D7A">
      <w:pPr>
        <w:pStyle w:val="ListParagraph"/>
        <w:numPr>
          <w:ilvl w:val="0"/>
          <w:numId w:val="7"/>
        </w:numPr>
        <w:jc w:val="both"/>
        <w:rPr>
          <w:rFonts w:ascii="Bookman Old Style" w:hAnsi="Bookman Old Style"/>
          <w:sz w:val="24"/>
          <w:szCs w:val="24"/>
        </w:rPr>
      </w:pPr>
      <w:r w:rsidRPr="006314B2">
        <w:rPr>
          <w:rFonts w:ascii="Bookman Old Style" w:hAnsi="Bookman Old Style"/>
          <w:sz w:val="24"/>
          <w:szCs w:val="24"/>
        </w:rPr>
        <w:t>Multiplicity of regulatory and security agencies at the ports</w:t>
      </w:r>
    </w:p>
    <w:p w14:paraId="6258758F" w14:textId="77777777" w:rsidR="00493D7A" w:rsidRPr="006314B2" w:rsidRDefault="00493D7A" w:rsidP="00493D7A">
      <w:pPr>
        <w:pStyle w:val="ListParagraph"/>
        <w:numPr>
          <w:ilvl w:val="0"/>
          <w:numId w:val="7"/>
        </w:numPr>
        <w:jc w:val="both"/>
        <w:rPr>
          <w:rFonts w:ascii="Bookman Old Style" w:hAnsi="Bookman Old Style"/>
          <w:sz w:val="24"/>
          <w:szCs w:val="24"/>
        </w:rPr>
      </w:pPr>
      <w:r w:rsidRPr="006314B2">
        <w:rPr>
          <w:rFonts w:ascii="Bookman Old Style" w:hAnsi="Bookman Old Style"/>
          <w:sz w:val="24"/>
          <w:szCs w:val="24"/>
        </w:rPr>
        <w:t>High duplicated terminal/shipping company charge and process</w:t>
      </w:r>
    </w:p>
    <w:p w14:paraId="76A2D9D5" w14:textId="77777777" w:rsidR="00493D7A" w:rsidRPr="006314B2" w:rsidRDefault="00493D7A" w:rsidP="00493D7A">
      <w:pPr>
        <w:pStyle w:val="ListParagraph"/>
        <w:numPr>
          <w:ilvl w:val="0"/>
          <w:numId w:val="7"/>
        </w:numPr>
        <w:jc w:val="both"/>
        <w:rPr>
          <w:rFonts w:ascii="Bookman Old Style" w:hAnsi="Bookman Old Style"/>
          <w:sz w:val="24"/>
          <w:szCs w:val="24"/>
        </w:rPr>
      </w:pPr>
      <w:r w:rsidRPr="006314B2">
        <w:rPr>
          <w:rFonts w:ascii="Bookman Old Style" w:hAnsi="Bookman Old Style"/>
          <w:sz w:val="24"/>
          <w:szCs w:val="24"/>
        </w:rPr>
        <w:t>Logistics and distribution difficulties in foreign markets</w:t>
      </w:r>
    </w:p>
    <w:p w14:paraId="608BB1AB" w14:textId="77777777" w:rsidR="00493D7A" w:rsidRPr="006314B2" w:rsidRDefault="00493D7A" w:rsidP="00493D7A">
      <w:pPr>
        <w:pStyle w:val="ListParagraph"/>
        <w:numPr>
          <w:ilvl w:val="0"/>
          <w:numId w:val="7"/>
        </w:numPr>
        <w:jc w:val="both"/>
        <w:rPr>
          <w:rFonts w:ascii="Bookman Old Style" w:hAnsi="Bookman Old Style"/>
          <w:sz w:val="24"/>
          <w:szCs w:val="24"/>
        </w:rPr>
      </w:pPr>
      <w:r w:rsidRPr="006314B2">
        <w:rPr>
          <w:rFonts w:ascii="Bookman Old Style" w:hAnsi="Bookman Old Style"/>
          <w:sz w:val="24"/>
          <w:szCs w:val="24"/>
        </w:rPr>
        <w:t>Proliferation of government agencies on the road and at the point of shipment</w:t>
      </w:r>
    </w:p>
    <w:p w14:paraId="6A2BDF89" w14:textId="77777777" w:rsidR="00493D7A" w:rsidRPr="006314B2" w:rsidRDefault="00493D7A" w:rsidP="00493D7A">
      <w:pPr>
        <w:pStyle w:val="ListParagraph"/>
        <w:numPr>
          <w:ilvl w:val="0"/>
          <w:numId w:val="7"/>
        </w:numPr>
        <w:jc w:val="both"/>
        <w:rPr>
          <w:rFonts w:ascii="Bookman Old Style" w:hAnsi="Bookman Old Style"/>
          <w:sz w:val="24"/>
          <w:szCs w:val="24"/>
        </w:rPr>
      </w:pPr>
      <w:r w:rsidRPr="006314B2">
        <w:rPr>
          <w:rFonts w:ascii="Bookman Old Style" w:hAnsi="Bookman Old Style"/>
          <w:sz w:val="24"/>
          <w:szCs w:val="24"/>
        </w:rPr>
        <w:t>Difficulty of finding a trustworthy distributor</w:t>
      </w:r>
    </w:p>
    <w:p w14:paraId="302B729F" w14:textId="77777777" w:rsidR="00493D7A" w:rsidRPr="006314B2" w:rsidRDefault="00493D7A" w:rsidP="00493D7A">
      <w:pPr>
        <w:jc w:val="both"/>
        <w:rPr>
          <w:rFonts w:ascii="Bookman Old Style" w:hAnsi="Bookman Old Style"/>
          <w:sz w:val="24"/>
          <w:szCs w:val="24"/>
        </w:rPr>
      </w:pPr>
    </w:p>
    <w:p w14:paraId="5B0110E9" w14:textId="63382ABF" w:rsidR="00493D7A" w:rsidRPr="00AA443C" w:rsidRDefault="00AA443C" w:rsidP="00AA443C">
      <w:pPr>
        <w:pStyle w:val="ListParagraph"/>
        <w:numPr>
          <w:ilvl w:val="1"/>
          <w:numId w:val="76"/>
        </w:numPr>
        <w:jc w:val="both"/>
        <w:rPr>
          <w:rFonts w:ascii="Bookman Old Style" w:hAnsi="Bookman Old Style"/>
          <w:b/>
          <w:sz w:val="24"/>
          <w:szCs w:val="24"/>
        </w:rPr>
      </w:pPr>
      <w:r>
        <w:rPr>
          <w:rFonts w:ascii="Bookman Old Style" w:hAnsi="Bookman Old Style"/>
          <w:b/>
          <w:sz w:val="24"/>
          <w:szCs w:val="24"/>
        </w:rPr>
        <w:t>External Factors</w:t>
      </w:r>
    </w:p>
    <w:p w14:paraId="52F2A890" w14:textId="77777777" w:rsidR="00493D7A" w:rsidRPr="006314B2" w:rsidRDefault="00493D7A" w:rsidP="00493D7A">
      <w:pPr>
        <w:pStyle w:val="ListParagraph"/>
        <w:numPr>
          <w:ilvl w:val="0"/>
          <w:numId w:val="8"/>
        </w:numPr>
        <w:jc w:val="both"/>
        <w:rPr>
          <w:rFonts w:ascii="Bookman Old Style" w:hAnsi="Bookman Old Style"/>
          <w:sz w:val="24"/>
          <w:szCs w:val="24"/>
        </w:rPr>
      </w:pPr>
      <w:r w:rsidRPr="006314B2">
        <w:rPr>
          <w:rFonts w:ascii="Bookman Old Style" w:hAnsi="Bookman Old Style"/>
          <w:sz w:val="24"/>
          <w:szCs w:val="24"/>
        </w:rPr>
        <w:t>Forex issues</w:t>
      </w:r>
    </w:p>
    <w:p w14:paraId="4239880F" w14:textId="77777777" w:rsidR="00493D7A" w:rsidRPr="006314B2" w:rsidRDefault="00493D7A" w:rsidP="00493D7A">
      <w:pPr>
        <w:pStyle w:val="ListParagraph"/>
        <w:numPr>
          <w:ilvl w:val="0"/>
          <w:numId w:val="8"/>
        </w:numPr>
        <w:jc w:val="both"/>
        <w:rPr>
          <w:rFonts w:ascii="Bookman Old Style" w:hAnsi="Bookman Old Style"/>
          <w:sz w:val="24"/>
          <w:szCs w:val="24"/>
        </w:rPr>
      </w:pPr>
      <w:r w:rsidRPr="006314B2">
        <w:rPr>
          <w:rFonts w:ascii="Bookman Old Style" w:hAnsi="Bookman Old Style"/>
          <w:sz w:val="24"/>
          <w:szCs w:val="24"/>
        </w:rPr>
        <w:t>Difficulty of finding a trustworthy distributor in the foreign country</w:t>
      </w:r>
    </w:p>
    <w:p w14:paraId="342588EF" w14:textId="77777777" w:rsidR="00493D7A" w:rsidRPr="006314B2" w:rsidRDefault="00493D7A" w:rsidP="00493D7A">
      <w:pPr>
        <w:pStyle w:val="ListParagraph"/>
        <w:numPr>
          <w:ilvl w:val="0"/>
          <w:numId w:val="8"/>
        </w:numPr>
        <w:jc w:val="both"/>
        <w:rPr>
          <w:rFonts w:ascii="Bookman Old Style" w:hAnsi="Bookman Old Style"/>
          <w:sz w:val="24"/>
          <w:szCs w:val="24"/>
        </w:rPr>
      </w:pPr>
      <w:r w:rsidRPr="006314B2">
        <w:rPr>
          <w:rFonts w:ascii="Bookman Old Style" w:hAnsi="Bookman Old Style"/>
          <w:sz w:val="24"/>
          <w:szCs w:val="24"/>
        </w:rPr>
        <w:t>Policy somersaults and unpredictable operating environments</w:t>
      </w:r>
    </w:p>
    <w:p w14:paraId="1F02F85E" w14:textId="77777777" w:rsidR="00493D7A" w:rsidRPr="006314B2" w:rsidRDefault="00493D7A" w:rsidP="00493D7A">
      <w:pPr>
        <w:pStyle w:val="ListParagraph"/>
        <w:numPr>
          <w:ilvl w:val="0"/>
          <w:numId w:val="8"/>
        </w:numPr>
        <w:jc w:val="both"/>
        <w:rPr>
          <w:rFonts w:ascii="Bookman Old Style" w:hAnsi="Bookman Old Style"/>
          <w:sz w:val="24"/>
          <w:szCs w:val="24"/>
        </w:rPr>
      </w:pPr>
      <w:r w:rsidRPr="006314B2">
        <w:rPr>
          <w:rFonts w:ascii="Bookman Old Style" w:hAnsi="Bookman Old Style"/>
          <w:sz w:val="24"/>
          <w:szCs w:val="24"/>
        </w:rPr>
        <w:t>Inadequate export promotion incentives</w:t>
      </w:r>
    </w:p>
    <w:p w14:paraId="4FFEE2D3" w14:textId="77777777" w:rsidR="00493D7A" w:rsidRPr="006314B2" w:rsidRDefault="00493D7A" w:rsidP="00493D7A">
      <w:pPr>
        <w:pStyle w:val="ListParagraph"/>
        <w:numPr>
          <w:ilvl w:val="0"/>
          <w:numId w:val="8"/>
        </w:numPr>
        <w:jc w:val="both"/>
        <w:rPr>
          <w:rFonts w:ascii="Bookman Old Style" w:hAnsi="Bookman Old Style"/>
          <w:sz w:val="24"/>
          <w:szCs w:val="24"/>
        </w:rPr>
      </w:pPr>
      <w:r w:rsidRPr="006314B2">
        <w:rPr>
          <w:rFonts w:ascii="Bookman Old Style" w:hAnsi="Bookman Old Style"/>
          <w:sz w:val="24"/>
          <w:szCs w:val="24"/>
        </w:rPr>
        <w:t>Lack of availability of capital for meaningful investment in these sectors</w:t>
      </w:r>
    </w:p>
    <w:p w14:paraId="005086BB" w14:textId="77777777" w:rsidR="00493D7A" w:rsidRPr="006314B2" w:rsidRDefault="00493D7A" w:rsidP="00493D7A">
      <w:pPr>
        <w:pStyle w:val="ListParagraph"/>
        <w:numPr>
          <w:ilvl w:val="0"/>
          <w:numId w:val="8"/>
        </w:numPr>
        <w:jc w:val="both"/>
        <w:rPr>
          <w:rFonts w:ascii="Bookman Old Style" w:hAnsi="Bookman Old Style"/>
          <w:sz w:val="24"/>
          <w:szCs w:val="24"/>
        </w:rPr>
      </w:pPr>
      <w:r w:rsidRPr="006314B2">
        <w:rPr>
          <w:rFonts w:ascii="Bookman Old Style" w:hAnsi="Bookman Old Style"/>
          <w:sz w:val="24"/>
          <w:szCs w:val="24"/>
        </w:rPr>
        <w:t>Lack of socio-economic infrastructure</w:t>
      </w:r>
    </w:p>
    <w:p w14:paraId="2C4D71C0" w14:textId="77777777" w:rsidR="00493D7A" w:rsidRPr="006314B2" w:rsidRDefault="00493D7A" w:rsidP="00493D7A">
      <w:pPr>
        <w:pStyle w:val="ListParagraph"/>
        <w:numPr>
          <w:ilvl w:val="0"/>
          <w:numId w:val="8"/>
        </w:numPr>
        <w:jc w:val="both"/>
        <w:rPr>
          <w:rFonts w:ascii="Bookman Old Style" w:hAnsi="Bookman Old Style"/>
          <w:sz w:val="24"/>
          <w:szCs w:val="24"/>
        </w:rPr>
      </w:pPr>
      <w:r w:rsidRPr="006314B2">
        <w:rPr>
          <w:rFonts w:ascii="Bookman Old Style" w:hAnsi="Bookman Old Style"/>
          <w:sz w:val="24"/>
          <w:szCs w:val="24"/>
        </w:rPr>
        <w:t>Lack of dedicated attention to the market opportunities that exist</w:t>
      </w:r>
    </w:p>
    <w:p w14:paraId="3211A6F9" w14:textId="77777777" w:rsidR="00493D7A" w:rsidRPr="006314B2" w:rsidRDefault="00493D7A" w:rsidP="00493D7A">
      <w:pPr>
        <w:pStyle w:val="ListParagraph"/>
        <w:numPr>
          <w:ilvl w:val="0"/>
          <w:numId w:val="8"/>
        </w:numPr>
        <w:jc w:val="both"/>
        <w:rPr>
          <w:rFonts w:ascii="Bookman Old Style" w:hAnsi="Bookman Old Style"/>
          <w:sz w:val="24"/>
          <w:szCs w:val="24"/>
        </w:rPr>
      </w:pPr>
      <w:r w:rsidRPr="006314B2">
        <w:rPr>
          <w:rFonts w:ascii="Bookman Old Style" w:hAnsi="Bookman Old Style"/>
          <w:sz w:val="24"/>
          <w:szCs w:val="24"/>
        </w:rPr>
        <w:t>Lack of effective export marketing</w:t>
      </w:r>
    </w:p>
    <w:p w14:paraId="6A3F669C" w14:textId="77777777" w:rsidR="00493D7A" w:rsidRDefault="00493D7A"/>
    <w:p w14:paraId="1D506BCE" w14:textId="77777777" w:rsidR="00493D7A" w:rsidRDefault="00493D7A"/>
    <w:p w14:paraId="31447E5A" w14:textId="77777777" w:rsidR="00493D7A" w:rsidRDefault="00493D7A"/>
    <w:p w14:paraId="2BB0053C" w14:textId="77777777" w:rsidR="00493D7A" w:rsidRDefault="00493D7A"/>
    <w:p w14:paraId="1AC58DAA" w14:textId="77777777" w:rsidR="00493D7A" w:rsidRDefault="00493D7A"/>
    <w:p w14:paraId="27D87572" w14:textId="77777777" w:rsidR="00493D7A" w:rsidRDefault="00493D7A"/>
    <w:p w14:paraId="361E6337" w14:textId="77777777" w:rsidR="00493D7A" w:rsidRDefault="00493D7A"/>
    <w:p w14:paraId="46D115CA" w14:textId="77777777" w:rsidR="00493D7A" w:rsidRDefault="00493D7A"/>
    <w:p w14:paraId="5E3DB3EF" w14:textId="77777777" w:rsidR="00493D7A" w:rsidRDefault="00493D7A"/>
    <w:p w14:paraId="002CB198" w14:textId="77777777" w:rsidR="00493D7A" w:rsidRDefault="00493D7A"/>
    <w:p w14:paraId="4DA5B88F" w14:textId="77777777" w:rsidR="00493D7A" w:rsidRDefault="00493D7A"/>
    <w:p w14:paraId="69A62375" w14:textId="77777777" w:rsidR="00493D7A" w:rsidRDefault="00493D7A"/>
    <w:p w14:paraId="25AB421B" w14:textId="77777777" w:rsidR="00493D7A" w:rsidRDefault="00493D7A"/>
    <w:p w14:paraId="3613D04A" w14:textId="77777777" w:rsidR="00493D7A" w:rsidRDefault="00493D7A"/>
    <w:p w14:paraId="312A6F7D" w14:textId="7CCCC0FE" w:rsidR="00493D7A" w:rsidRDefault="00493D7A"/>
    <w:p w14:paraId="5614C7C8" w14:textId="76413911" w:rsidR="00AA443C" w:rsidRDefault="00AA443C"/>
    <w:p w14:paraId="3F373338" w14:textId="43B4B081" w:rsidR="00AA443C" w:rsidRDefault="00AA443C"/>
    <w:p w14:paraId="20592F68" w14:textId="77777777" w:rsidR="005F5EC4" w:rsidRDefault="005F5EC4" w:rsidP="00AF6713"/>
    <w:p w14:paraId="65001046" w14:textId="015B22F8" w:rsidR="00493D7A" w:rsidRPr="0044041A" w:rsidRDefault="0044041A" w:rsidP="00AF6713">
      <w:pPr>
        <w:rPr>
          <w:rFonts w:ascii="Bookman Old Style" w:hAnsi="Bookman Old Style"/>
          <w:b/>
          <w:sz w:val="24"/>
          <w:szCs w:val="24"/>
        </w:rPr>
      </w:pPr>
      <w:r w:rsidRPr="0044041A">
        <w:rPr>
          <w:rFonts w:ascii="Bookman Old Style" w:hAnsi="Bookman Old Style"/>
          <w:b/>
          <w:sz w:val="24"/>
          <w:szCs w:val="24"/>
        </w:rPr>
        <w:t>SECTION</w:t>
      </w:r>
      <w:r w:rsidR="00AF6713">
        <w:rPr>
          <w:rFonts w:ascii="Bookman Old Style" w:hAnsi="Bookman Old Style"/>
          <w:b/>
          <w:sz w:val="24"/>
          <w:szCs w:val="24"/>
        </w:rPr>
        <w:t xml:space="preserve"> 3: </w:t>
      </w:r>
      <w:r w:rsidR="00493D7A" w:rsidRPr="0044041A">
        <w:rPr>
          <w:rFonts w:ascii="Bookman Old Style" w:hAnsi="Bookman Old Style"/>
          <w:b/>
          <w:sz w:val="24"/>
          <w:szCs w:val="24"/>
        </w:rPr>
        <w:t>POTENTIAL/ OPPORTUNITIES OF OUR NON-OIL EXPORT</w:t>
      </w:r>
    </w:p>
    <w:p w14:paraId="4E7D3894" w14:textId="2DC70E4E" w:rsidR="00992602" w:rsidRPr="00AA443C" w:rsidRDefault="00992602" w:rsidP="00493D7A">
      <w:pPr>
        <w:jc w:val="both"/>
        <w:rPr>
          <w:rFonts w:ascii="Bookman Old Style" w:hAnsi="Bookman Old Style"/>
          <w:b/>
          <w:sz w:val="24"/>
          <w:szCs w:val="24"/>
        </w:rPr>
      </w:pPr>
      <w:r w:rsidRPr="00AA443C">
        <w:rPr>
          <w:rFonts w:ascii="Bookman Old Style" w:hAnsi="Bookman Old Style"/>
          <w:b/>
          <w:sz w:val="24"/>
          <w:szCs w:val="24"/>
        </w:rPr>
        <w:t xml:space="preserve">3.0 </w:t>
      </w:r>
      <w:r w:rsidR="005F5EC4">
        <w:rPr>
          <w:rFonts w:ascii="Bookman Old Style" w:hAnsi="Bookman Old Style"/>
          <w:b/>
          <w:sz w:val="24"/>
          <w:szCs w:val="24"/>
        </w:rPr>
        <w:tab/>
      </w:r>
      <w:r w:rsidRPr="00AA443C">
        <w:rPr>
          <w:rFonts w:ascii="Bookman Old Style" w:hAnsi="Bookman Old Style"/>
          <w:b/>
          <w:sz w:val="24"/>
          <w:szCs w:val="24"/>
        </w:rPr>
        <w:t>Introduction</w:t>
      </w:r>
    </w:p>
    <w:p w14:paraId="34F055DD"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The Nigeria agriculture research services has in its fold; fifteen (15) commodity based research institutions, eleven (11) federal colleges of agriculture, a specialised national agriculture extension institute, over fifty (50) faculties of agriculture in federal universities and three (3) specialised universities of agriculture (1), the combination of the above should have placed Nigeria in an advantageous position to tackle food security challenges, improve our production for export of non-oil goods and place Nigeria in the committee of nations earning huge returns from non-oil export.</w:t>
      </w:r>
    </w:p>
    <w:p w14:paraId="031ADFCC"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Nigeria is also recorded to have in its employ at the agriculture research and development institutes over five hundred (500) full-time equivalent researchers (2)and this represents the highest number employed by any African country but in terms of input/ research breakthroughs for the agribusiness industry in Nigeria, the country still lacks behind in yield per hectare across the continent.</w:t>
      </w:r>
    </w:p>
    <w:p w14:paraId="390846CA" w14:textId="77777777" w:rsidR="00992602" w:rsidRDefault="00493D7A" w:rsidP="00493D7A">
      <w:pPr>
        <w:jc w:val="both"/>
        <w:rPr>
          <w:rFonts w:ascii="Bookman Old Style" w:hAnsi="Bookman Old Style"/>
          <w:sz w:val="24"/>
          <w:szCs w:val="24"/>
        </w:rPr>
      </w:pPr>
      <w:r w:rsidRPr="00220885">
        <w:rPr>
          <w:rFonts w:ascii="Bookman Old Style" w:hAnsi="Bookman Old Style"/>
          <w:sz w:val="24"/>
          <w:szCs w:val="24"/>
        </w:rPr>
        <w:t xml:space="preserve">The Nigerian non-oil export space in the last five years has witnessed a relatively decline in total value of export earnings and it is unclear  what factors are responsible for the decline; if it is a function of declining production of the crops or a decline in the market demand for same, what is however clear is that on the average, we have earned less revenue from our non-oil exports from 2011-2015, this is sadly in contrast with the potential/ opportunities that abound for Nigeria in the non-oil export space. </w:t>
      </w:r>
    </w:p>
    <w:p w14:paraId="227FD26C" w14:textId="77777777" w:rsidR="00AA443C" w:rsidRDefault="00AA443C" w:rsidP="00493D7A">
      <w:pPr>
        <w:jc w:val="both"/>
        <w:rPr>
          <w:rFonts w:ascii="Bookman Old Style" w:hAnsi="Bookman Old Style"/>
          <w:b/>
          <w:sz w:val="24"/>
          <w:szCs w:val="24"/>
        </w:rPr>
      </w:pPr>
    </w:p>
    <w:p w14:paraId="0D907746" w14:textId="79875EB1" w:rsidR="00493D7A" w:rsidRPr="00992602" w:rsidRDefault="00992602" w:rsidP="00493D7A">
      <w:pPr>
        <w:jc w:val="both"/>
        <w:rPr>
          <w:rFonts w:ascii="Bookman Old Style" w:hAnsi="Bookman Old Style"/>
          <w:sz w:val="24"/>
          <w:szCs w:val="24"/>
        </w:rPr>
      </w:pPr>
      <w:r w:rsidRPr="00992602">
        <w:rPr>
          <w:rFonts w:ascii="Bookman Old Style" w:hAnsi="Bookman Old Style"/>
          <w:b/>
          <w:sz w:val="24"/>
          <w:szCs w:val="24"/>
        </w:rPr>
        <w:t>3.1</w:t>
      </w:r>
      <w:r>
        <w:rPr>
          <w:rFonts w:ascii="Bookman Old Style" w:hAnsi="Bookman Old Style"/>
          <w:sz w:val="24"/>
          <w:szCs w:val="24"/>
        </w:rPr>
        <w:t xml:space="preserve"> </w:t>
      </w:r>
      <w:r w:rsidR="00AA443C" w:rsidRPr="00220885">
        <w:rPr>
          <w:rFonts w:ascii="Bookman Old Style" w:hAnsi="Bookman Old Style"/>
          <w:b/>
          <w:sz w:val="24"/>
          <w:szCs w:val="24"/>
        </w:rPr>
        <w:t>Potential</w:t>
      </w:r>
      <w:r w:rsidR="00AA443C">
        <w:rPr>
          <w:rFonts w:ascii="Bookman Old Style" w:hAnsi="Bookman Old Style"/>
          <w:b/>
          <w:sz w:val="24"/>
          <w:szCs w:val="24"/>
        </w:rPr>
        <w:t xml:space="preserve"> Quick Wins/ Low Hanging Fruits</w:t>
      </w:r>
    </w:p>
    <w:p w14:paraId="7BF8C9F5" w14:textId="0349AEC9" w:rsidR="00493D7A" w:rsidRPr="00AA443C" w:rsidRDefault="00992602" w:rsidP="00AA443C">
      <w:pPr>
        <w:jc w:val="both"/>
        <w:rPr>
          <w:rFonts w:ascii="Bookman Old Style" w:hAnsi="Bookman Old Style"/>
          <w:b/>
          <w:sz w:val="24"/>
          <w:szCs w:val="24"/>
        </w:rPr>
      </w:pPr>
      <w:r w:rsidRPr="00992602">
        <w:rPr>
          <w:rFonts w:ascii="Bookman Old Style" w:hAnsi="Bookman Old Style"/>
          <w:b/>
          <w:sz w:val="24"/>
          <w:szCs w:val="24"/>
        </w:rPr>
        <w:t xml:space="preserve">Table 3.1 </w:t>
      </w:r>
      <w:r w:rsidR="00493D7A" w:rsidRPr="00AA443C">
        <w:rPr>
          <w:rFonts w:ascii="Bookman Old Style" w:hAnsi="Bookman Old Style"/>
          <w:b/>
          <w:sz w:val="24"/>
          <w:szCs w:val="24"/>
        </w:rPr>
        <w:t>The table below itemises our top ten non-oil export earners from 2011-2015</w:t>
      </w:r>
    </w:p>
    <w:tbl>
      <w:tblPr>
        <w:tblStyle w:val="TableGrid"/>
        <w:tblW w:w="0" w:type="auto"/>
        <w:tblLook w:val="04A0" w:firstRow="1" w:lastRow="0" w:firstColumn="1" w:lastColumn="0" w:noHBand="0" w:noVBand="1"/>
      </w:tblPr>
      <w:tblGrid>
        <w:gridCol w:w="888"/>
        <w:gridCol w:w="2727"/>
        <w:gridCol w:w="1807"/>
        <w:gridCol w:w="2084"/>
        <w:gridCol w:w="1736"/>
      </w:tblGrid>
      <w:tr w:rsidR="00493D7A" w:rsidRPr="00220885" w14:paraId="5D6D242D" w14:textId="77777777" w:rsidTr="00493D7A">
        <w:tc>
          <w:tcPr>
            <w:tcW w:w="817" w:type="dxa"/>
          </w:tcPr>
          <w:p w14:paraId="1268B6D1"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S/NO</w:t>
            </w:r>
          </w:p>
        </w:tc>
        <w:tc>
          <w:tcPr>
            <w:tcW w:w="2879" w:type="dxa"/>
          </w:tcPr>
          <w:p w14:paraId="563A1850"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EXPORTED PRODUCTS</w:t>
            </w:r>
          </w:p>
        </w:tc>
        <w:tc>
          <w:tcPr>
            <w:tcW w:w="1848" w:type="dxa"/>
          </w:tcPr>
          <w:p w14:paraId="0DC38B3C"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GROSS WEIGHT (MT)</w:t>
            </w:r>
          </w:p>
        </w:tc>
        <w:tc>
          <w:tcPr>
            <w:tcW w:w="1849" w:type="dxa"/>
          </w:tcPr>
          <w:p w14:paraId="21C12BEE"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EXPORT VALUE (USD)</w:t>
            </w:r>
          </w:p>
        </w:tc>
        <w:tc>
          <w:tcPr>
            <w:tcW w:w="1849" w:type="dxa"/>
          </w:tcPr>
          <w:p w14:paraId="0ABF069B"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 OF TOTAL VALUE</w:t>
            </w:r>
          </w:p>
        </w:tc>
      </w:tr>
      <w:tr w:rsidR="00493D7A" w:rsidRPr="00220885" w14:paraId="668F202C" w14:textId="77777777" w:rsidTr="00493D7A">
        <w:tc>
          <w:tcPr>
            <w:tcW w:w="817" w:type="dxa"/>
          </w:tcPr>
          <w:p w14:paraId="3F11B135"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1</w:t>
            </w:r>
          </w:p>
        </w:tc>
        <w:tc>
          <w:tcPr>
            <w:tcW w:w="2879" w:type="dxa"/>
          </w:tcPr>
          <w:p w14:paraId="24C81672"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COCOA BEANS</w:t>
            </w:r>
          </w:p>
        </w:tc>
        <w:tc>
          <w:tcPr>
            <w:tcW w:w="1848" w:type="dxa"/>
          </w:tcPr>
          <w:p w14:paraId="2B11E53D"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24,519.80</w:t>
            </w:r>
          </w:p>
        </w:tc>
        <w:tc>
          <w:tcPr>
            <w:tcW w:w="1849" w:type="dxa"/>
          </w:tcPr>
          <w:p w14:paraId="6894161F"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338,176,992.99</w:t>
            </w:r>
          </w:p>
        </w:tc>
        <w:tc>
          <w:tcPr>
            <w:tcW w:w="1849" w:type="dxa"/>
          </w:tcPr>
          <w:p w14:paraId="14218F9C"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20.82</w:t>
            </w:r>
          </w:p>
        </w:tc>
      </w:tr>
      <w:tr w:rsidR="00493D7A" w:rsidRPr="00220885" w14:paraId="796A4E8B" w14:textId="77777777" w:rsidTr="00493D7A">
        <w:tc>
          <w:tcPr>
            <w:tcW w:w="817" w:type="dxa"/>
          </w:tcPr>
          <w:p w14:paraId="1BD22349"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2</w:t>
            </w:r>
          </w:p>
        </w:tc>
        <w:tc>
          <w:tcPr>
            <w:tcW w:w="2879" w:type="dxa"/>
          </w:tcPr>
          <w:p w14:paraId="67A05F30"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SESAME SEEDS</w:t>
            </w:r>
          </w:p>
        </w:tc>
        <w:tc>
          <w:tcPr>
            <w:tcW w:w="1848" w:type="dxa"/>
          </w:tcPr>
          <w:p w14:paraId="0E70B312"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185,953.68</w:t>
            </w:r>
          </w:p>
        </w:tc>
        <w:tc>
          <w:tcPr>
            <w:tcW w:w="1849" w:type="dxa"/>
          </w:tcPr>
          <w:p w14:paraId="14926BF8"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240,011,169.96</w:t>
            </w:r>
          </w:p>
        </w:tc>
        <w:tc>
          <w:tcPr>
            <w:tcW w:w="1849" w:type="dxa"/>
          </w:tcPr>
          <w:p w14:paraId="5044C5EF"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14.77</w:t>
            </w:r>
          </w:p>
        </w:tc>
      </w:tr>
      <w:tr w:rsidR="00493D7A" w:rsidRPr="00220885" w14:paraId="76408B99" w14:textId="77777777" w:rsidTr="00493D7A">
        <w:tc>
          <w:tcPr>
            <w:tcW w:w="817" w:type="dxa"/>
          </w:tcPr>
          <w:p w14:paraId="7E5419D6"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3</w:t>
            </w:r>
          </w:p>
        </w:tc>
        <w:tc>
          <w:tcPr>
            <w:tcW w:w="2879" w:type="dxa"/>
          </w:tcPr>
          <w:p w14:paraId="7B7023F2"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 xml:space="preserve">LEATHER </w:t>
            </w:r>
          </w:p>
        </w:tc>
        <w:tc>
          <w:tcPr>
            <w:tcW w:w="1848" w:type="dxa"/>
          </w:tcPr>
          <w:p w14:paraId="181FE8D6"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3,559.26</w:t>
            </w:r>
          </w:p>
        </w:tc>
        <w:tc>
          <w:tcPr>
            <w:tcW w:w="1849" w:type="dxa"/>
          </w:tcPr>
          <w:p w14:paraId="1B341F34"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145,269,547.62</w:t>
            </w:r>
          </w:p>
        </w:tc>
        <w:tc>
          <w:tcPr>
            <w:tcW w:w="1849" w:type="dxa"/>
          </w:tcPr>
          <w:p w14:paraId="399DCFFA"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8.94</w:t>
            </w:r>
          </w:p>
        </w:tc>
      </w:tr>
      <w:tr w:rsidR="00493D7A" w:rsidRPr="00220885" w14:paraId="2E359057" w14:textId="77777777" w:rsidTr="00493D7A">
        <w:tc>
          <w:tcPr>
            <w:tcW w:w="817" w:type="dxa"/>
          </w:tcPr>
          <w:p w14:paraId="25386E5C"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4</w:t>
            </w:r>
          </w:p>
        </w:tc>
        <w:tc>
          <w:tcPr>
            <w:tcW w:w="2879" w:type="dxa"/>
          </w:tcPr>
          <w:p w14:paraId="00EE89FB"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CIGARETTES</w:t>
            </w:r>
          </w:p>
        </w:tc>
        <w:tc>
          <w:tcPr>
            <w:tcW w:w="1848" w:type="dxa"/>
          </w:tcPr>
          <w:p w14:paraId="5A300B65"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10,456.27</w:t>
            </w:r>
          </w:p>
        </w:tc>
        <w:tc>
          <w:tcPr>
            <w:tcW w:w="1849" w:type="dxa"/>
          </w:tcPr>
          <w:p w14:paraId="0031F7CA"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98,363,810.04</w:t>
            </w:r>
          </w:p>
        </w:tc>
        <w:tc>
          <w:tcPr>
            <w:tcW w:w="1849" w:type="dxa"/>
          </w:tcPr>
          <w:p w14:paraId="17FBB403"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6.05</w:t>
            </w:r>
          </w:p>
        </w:tc>
      </w:tr>
      <w:tr w:rsidR="00493D7A" w:rsidRPr="00220885" w14:paraId="7A76FF73" w14:textId="77777777" w:rsidTr="00493D7A">
        <w:tc>
          <w:tcPr>
            <w:tcW w:w="817" w:type="dxa"/>
          </w:tcPr>
          <w:p w14:paraId="57EF12C2"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lastRenderedPageBreak/>
              <w:t>5</w:t>
            </w:r>
          </w:p>
        </w:tc>
        <w:tc>
          <w:tcPr>
            <w:tcW w:w="2879" w:type="dxa"/>
          </w:tcPr>
          <w:p w14:paraId="09AF6E87"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 xml:space="preserve">COCOA BUTTER </w:t>
            </w:r>
          </w:p>
        </w:tc>
        <w:tc>
          <w:tcPr>
            <w:tcW w:w="1848" w:type="dxa"/>
          </w:tcPr>
          <w:p w14:paraId="2A2FE08D"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10,279.10</w:t>
            </w:r>
          </w:p>
        </w:tc>
        <w:tc>
          <w:tcPr>
            <w:tcW w:w="1849" w:type="dxa"/>
          </w:tcPr>
          <w:p w14:paraId="09C63AD9"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67,891,150.92</w:t>
            </w:r>
          </w:p>
        </w:tc>
        <w:tc>
          <w:tcPr>
            <w:tcW w:w="1849" w:type="dxa"/>
          </w:tcPr>
          <w:p w14:paraId="14CC3E19"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4.18</w:t>
            </w:r>
          </w:p>
        </w:tc>
      </w:tr>
      <w:tr w:rsidR="00493D7A" w:rsidRPr="00220885" w14:paraId="2A6A1B1B" w14:textId="77777777" w:rsidTr="00493D7A">
        <w:tc>
          <w:tcPr>
            <w:tcW w:w="817" w:type="dxa"/>
          </w:tcPr>
          <w:p w14:paraId="4232CBB9"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6</w:t>
            </w:r>
          </w:p>
        </w:tc>
        <w:tc>
          <w:tcPr>
            <w:tcW w:w="2879" w:type="dxa"/>
          </w:tcPr>
          <w:p w14:paraId="31BE563E"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FORZEN SEA FOOD</w:t>
            </w:r>
          </w:p>
        </w:tc>
        <w:tc>
          <w:tcPr>
            <w:tcW w:w="1848" w:type="dxa"/>
          </w:tcPr>
          <w:p w14:paraId="6DFF60C9"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26,399.80</w:t>
            </w:r>
          </w:p>
        </w:tc>
        <w:tc>
          <w:tcPr>
            <w:tcW w:w="1849" w:type="dxa"/>
          </w:tcPr>
          <w:p w14:paraId="7930FE2B"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59,311,647.38</w:t>
            </w:r>
          </w:p>
        </w:tc>
        <w:tc>
          <w:tcPr>
            <w:tcW w:w="1849" w:type="dxa"/>
          </w:tcPr>
          <w:p w14:paraId="6793C143"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3.65</w:t>
            </w:r>
          </w:p>
        </w:tc>
      </w:tr>
      <w:tr w:rsidR="00493D7A" w:rsidRPr="00220885" w14:paraId="10143B2F" w14:textId="77777777" w:rsidTr="00493D7A">
        <w:tc>
          <w:tcPr>
            <w:tcW w:w="817" w:type="dxa"/>
          </w:tcPr>
          <w:p w14:paraId="439EA6A3"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7</w:t>
            </w:r>
          </w:p>
        </w:tc>
        <w:tc>
          <w:tcPr>
            <w:tcW w:w="2879" w:type="dxa"/>
          </w:tcPr>
          <w:p w14:paraId="386B8E29"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 xml:space="preserve">ALUMINIUM INGOT </w:t>
            </w:r>
          </w:p>
        </w:tc>
        <w:tc>
          <w:tcPr>
            <w:tcW w:w="1848" w:type="dxa"/>
          </w:tcPr>
          <w:p w14:paraId="113997A9"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26,113.20</w:t>
            </w:r>
          </w:p>
        </w:tc>
        <w:tc>
          <w:tcPr>
            <w:tcW w:w="1849" w:type="dxa"/>
          </w:tcPr>
          <w:p w14:paraId="697BDCEC"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47,122,688.74</w:t>
            </w:r>
          </w:p>
        </w:tc>
        <w:tc>
          <w:tcPr>
            <w:tcW w:w="1849" w:type="dxa"/>
          </w:tcPr>
          <w:p w14:paraId="4FD74238"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2.90</w:t>
            </w:r>
          </w:p>
        </w:tc>
      </w:tr>
      <w:tr w:rsidR="00493D7A" w:rsidRPr="00220885" w14:paraId="7CB1550D" w14:textId="77777777" w:rsidTr="00493D7A">
        <w:tc>
          <w:tcPr>
            <w:tcW w:w="817" w:type="dxa"/>
          </w:tcPr>
          <w:p w14:paraId="732F2F92"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8</w:t>
            </w:r>
          </w:p>
        </w:tc>
        <w:tc>
          <w:tcPr>
            <w:tcW w:w="2879" w:type="dxa"/>
          </w:tcPr>
          <w:p w14:paraId="7440E866"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 xml:space="preserve">TIN ALLOYS </w:t>
            </w:r>
          </w:p>
        </w:tc>
        <w:tc>
          <w:tcPr>
            <w:tcW w:w="1848" w:type="dxa"/>
          </w:tcPr>
          <w:p w14:paraId="792094B3"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2,817.80</w:t>
            </w:r>
          </w:p>
        </w:tc>
        <w:tc>
          <w:tcPr>
            <w:tcW w:w="1849" w:type="dxa"/>
          </w:tcPr>
          <w:p w14:paraId="71F59CC6"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46,869,253.52</w:t>
            </w:r>
          </w:p>
        </w:tc>
        <w:tc>
          <w:tcPr>
            <w:tcW w:w="1849" w:type="dxa"/>
          </w:tcPr>
          <w:p w14:paraId="768C3A9B"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2.89</w:t>
            </w:r>
          </w:p>
        </w:tc>
      </w:tr>
      <w:tr w:rsidR="00493D7A" w:rsidRPr="00220885" w14:paraId="29A19CEC" w14:textId="77777777" w:rsidTr="00493D7A">
        <w:tc>
          <w:tcPr>
            <w:tcW w:w="817" w:type="dxa"/>
          </w:tcPr>
          <w:p w14:paraId="3A18C098"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9</w:t>
            </w:r>
          </w:p>
        </w:tc>
        <w:tc>
          <w:tcPr>
            <w:tcW w:w="2879" w:type="dxa"/>
          </w:tcPr>
          <w:p w14:paraId="62A15E35"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 xml:space="preserve">RUBBER </w:t>
            </w:r>
          </w:p>
        </w:tc>
        <w:tc>
          <w:tcPr>
            <w:tcW w:w="1848" w:type="dxa"/>
          </w:tcPr>
          <w:p w14:paraId="63A81309"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35,063.70</w:t>
            </w:r>
          </w:p>
        </w:tc>
        <w:tc>
          <w:tcPr>
            <w:tcW w:w="1849" w:type="dxa"/>
          </w:tcPr>
          <w:p w14:paraId="41EF1CCE"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45,655,104.11</w:t>
            </w:r>
          </w:p>
        </w:tc>
        <w:tc>
          <w:tcPr>
            <w:tcW w:w="1849" w:type="dxa"/>
          </w:tcPr>
          <w:p w14:paraId="0D30F131"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2.81</w:t>
            </w:r>
          </w:p>
        </w:tc>
      </w:tr>
      <w:tr w:rsidR="00493D7A" w:rsidRPr="00220885" w14:paraId="083E20C2" w14:textId="77777777" w:rsidTr="00493D7A">
        <w:tc>
          <w:tcPr>
            <w:tcW w:w="817" w:type="dxa"/>
          </w:tcPr>
          <w:p w14:paraId="380DE573"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10</w:t>
            </w:r>
          </w:p>
        </w:tc>
        <w:tc>
          <w:tcPr>
            <w:tcW w:w="2879" w:type="dxa"/>
          </w:tcPr>
          <w:p w14:paraId="08282CD8"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 xml:space="preserve">CASHEW NUTS </w:t>
            </w:r>
          </w:p>
        </w:tc>
        <w:tc>
          <w:tcPr>
            <w:tcW w:w="1848" w:type="dxa"/>
          </w:tcPr>
          <w:p w14:paraId="084D1990"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55,119.31</w:t>
            </w:r>
          </w:p>
        </w:tc>
        <w:tc>
          <w:tcPr>
            <w:tcW w:w="1849" w:type="dxa"/>
          </w:tcPr>
          <w:p w14:paraId="10DA5A8B"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42,016,207.07</w:t>
            </w:r>
          </w:p>
        </w:tc>
        <w:tc>
          <w:tcPr>
            <w:tcW w:w="1849" w:type="dxa"/>
          </w:tcPr>
          <w:p w14:paraId="23D046F0"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2.59</w:t>
            </w:r>
          </w:p>
        </w:tc>
      </w:tr>
    </w:tbl>
    <w:p w14:paraId="527B7576" w14:textId="77777777" w:rsidR="00493D7A" w:rsidRPr="0044041A" w:rsidRDefault="0044041A" w:rsidP="0044041A">
      <w:pPr>
        <w:jc w:val="both"/>
        <w:rPr>
          <w:rFonts w:ascii="Bookman Old Style" w:hAnsi="Bookman Old Style" w:cs="Times New Roman"/>
          <w:b/>
          <w:i/>
          <w:sz w:val="20"/>
          <w:szCs w:val="20"/>
        </w:rPr>
      </w:pPr>
      <w:r w:rsidRPr="0044041A">
        <w:rPr>
          <w:rFonts w:ascii="Bookman Old Style" w:hAnsi="Bookman Old Style" w:cs="Times New Roman"/>
          <w:b/>
          <w:i/>
          <w:sz w:val="20"/>
          <w:szCs w:val="20"/>
        </w:rPr>
        <w:t xml:space="preserve">Source: Nigeria Export Promotion Council </w:t>
      </w:r>
    </w:p>
    <w:p w14:paraId="6556188A"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 xml:space="preserve">Cocoa beans has a sustained and continuing increase in its demand the world over and Nigeria ranks as one of the top producers of the crop and our potential to improve on our production of the crop is not in doubt, what however seems to be in doubt is our readiness to commit to improving our production of the crop in the right conditions as demanded by the export market for it. </w:t>
      </w:r>
    </w:p>
    <w:p w14:paraId="32F85CD2"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 xml:space="preserve">The demand the world over for sesame seeds is also increasing and as is the case with cocoa beans, Nigeria still ranks as one countries with huge production potential  for the crop and it is estimated that the potential to move from 185,953.68 MT production as at 2015 to well over 300,000MT within a two year period is realistic if only the right investments are made and enabling ecosystem provided for producers of sesame seeds in Nigeria and also importantly, right connections made between our producers and the export market for same. </w:t>
      </w:r>
    </w:p>
    <w:p w14:paraId="7D0DB356"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The demand for leather will most assuredly continue to rise the world over in the foreseeable future as the need and use of it will continue to rise and as with both cocoa beans and sesame seeds, Nigeria has a huge potential for the production of leather and more so, with the existence of two specialised research institutes saddled with the responsibility of improving our sourcing and production of leather in Nigeria, our production of lather can be tripled in the minimum within the next three years if and when the right investments and structures are put in place to drive this.</w:t>
      </w:r>
    </w:p>
    <w:p w14:paraId="11A5DC49"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 xml:space="preserve">The Nigerian government would have been expected to think through a mechanism that would be put in place to drive the process of improving on our non-oil export especially for the present top ten non-oil revenue earners as at 2015, rather than to plan to commit resources on exploring a new set of crops presently not among our top ten non-oil export earners on the argument that we have comparative advantage in their production. </w:t>
      </w:r>
    </w:p>
    <w:p w14:paraId="2300A1AE"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 xml:space="preserve">The top ten non-oil export earners for Nigeria as at 2015 represent our low hanging fruits/ quick wins and combined together, earned us a total of one billion, one hundred and thirty million, six hundred and eighty seven thousand, five hundred and seventy two dollars and thirty five cents ($1,130,687,572.35) in 2015 alone, this figure can well be improved upon if more emphasis is placed on improving our yield per hectare for the top ten </w:t>
      </w:r>
      <w:r w:rsidRPr="00220885">
        <w:rPr>
          <w:rFonts w:ascii="Bookman Old Style" w:hAnsi="Bookman Old Style"/>
          <w:sz w:val="24"/>
          <w:szCs w:val="24"/>
        </w:rPr>
        <w:lastRenderedPageBreak/>
        <w:t>non-oil export earners and providing the right set of support for the individual entities contributing to this crops.</w:t>
      </w:r>
    </w:p>
    <w:p w14:paraId="23363370" w14:textId="76196586" w:rsidR="00AF6713"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Our potential for earning greater returns from our non-oil export in Nigeria can be improved upon if our cropping intensity (which is the number of crop harvests per cell per year) is improved upon. Cropping intensity is highest in irrigated regions or in wetland areas such as southern Nigeria but the challenge has remained government insensitivity in mapping out approaches to improving on our cropping intensity to enable increased production of our present t</w:t>
      </w:r>
      <w:r w:rsidR="0044041A">
        <w:rPr>
          <w:rFonts w:ascii="Bookman Old Style" w:hAnsi="Bookman Old Style"/>
          <w:sz w:val="24"/>
          <w:szCs w:val="24"/>
        </w:rPr>
        <w:t xml:space="preserve">op ten non-oil export earners. </w:t>
      </w:r>
    </w:p>
    <w:p w14:paraId="665C4F93" w14:textId="77777777" w:rsidR="005F5EC4" w:rsidRDefault="005F5EC4" w:rsidP="00AA443C">
      <w:pPr>
        <w:spacing w:after="0"/>
        <w:jc w:val="both"/>
        <w:rPr>
          <w:rFonts w:ascii="Bookman Old Style" w:hAnsi="Bookman Old Style"/>
          <w:b/>
          <w:sz w:val="24"/>
          <w:szCs w:val="24"/>
        </w:rPr>
      </w:pPr>
    </w:p>
    <w:p w14:paraId="381CEDB1" w14:textId="12AF33A0" w:rsidR="00AA443C" w:rsidRDefault="00992602" w:rsidP="00AA443C">
      <w:pPr>
        <w:spacing w:after="0"/>
        <w:jc w:val="both"/>
        <w:rPr>
          <w:rFonts w:ascii="Bookman Old Style" w:hAnsi="Bookman Old Style"/>
          <w:b/>
          <w:sz w:val="24"/>
          <w:szCs w:val="24"/>
        </w:rPr>
      </w:pPr>
      <w:r w:rsidRPr="00992602">
        <w:rPr>
          <w:rFonts w:ascii="Bookman Old Style" w:hAnsi="Bookman Old Style"/>
          <w:b/>
          <w:sz w:val="24"/>
          <w:szCs w:val="24"/>
        </w:rPr>
        <w:t xml:space="preserve">3.2 </w:t>
      </w:r>
      <w:r w:rsidR="00AA443C">
        <w:rPr>
          <w:rFonts w:ascii="Bookman Old Style" w:hAnsi="Bookman Old Style"/>
          <w:b/>
          <w:sz w:val="24"/>
          <w:szCs w:val="24"/>
        </w:rPr>
        <w:t>Rising World Population as An Opportunity f</w:t>
      </w:r>
      <w:r w:rsidR="00AA443C" w:rsidRPr="00992602">
        <w:rPr>
          <w:rFonts w:ascii="Bookman Old Style" w:hAnsi="Bookman Old Style"/>
          <w:b/>
          <w:sz w:val="24"/>
          <w:szCs w:val="24"/>
        </w:rPr>
        <w:t>or Nigeria</w:t>
      </w:r>
    </w:p>
    <w:p w14:paraId="0B383601" w14:textId="41501405" w:rsidR="00493D7A" w:rsidRPr="00AA443C" w:rsidRDefault="00493D7A" w:rsidP="00493D7A">
      <w:pPr>
        <w:jc w:val="both"/>
        <w:rPr>
          <w:rFonts w:ascii="Bookman Old Style" w:hAnsi="Bookman Old Style"/>
          <w:b/>
          <w:sz w:val="24"/>
          <w:szCs w:val="24"/>
        </w:rPr>
      </w:pPr>
      <w:r w:rsidRPr="00220885">
        <w:rPr>
          <w:rFonts w:ascii="Bookman Old Style" w:hAnsi="Bookman Old Style"/>
          <w:sz w:val="24"/>
          <w:szCs w:val="24"/>
        </w:rPr>
        <w:t>It is expected that the world’s population would rise to about eight billion five hundred million (8.5bn) persons by 2030 (3) and that the countries more likely to witness more population growth are among the present top ten country destination for our non-oil export.</w:t>
      </w:r>
    </w:p>
    <w:p w14:paraId="77210E1D" w14:textId="77777777" w:rsidR="00AA443C" w:rsidRDefault="00AA443C" w:rsidP="00493D7A">
      <w:pPr>
        <w:jc w:val="both"/>
        <w:rPr>
          <w:rFonts w:ascii="Bookman Old Style" w:hAnsi="Bookman Old Style"/>
          <w:b/>
          <w:sz w:val="24"/>
          <w:szCs w:val="24"/>
        </w:rPr>
      </w:pPr>
    </w:p>
    <w:p w14:paraId="067C6CC1" w14:textId="3ED471DD" w:rsidR="00493D7A" w:rsidRPr="00992602" w:rsidRDefault="00992602" w:rsidP="00493D7A">
      <w:pPr>
        <w:jc w:val="both"/>
        <w:rPr>
          <w:rFonts w:ascii="Bookman Old Style" w:hAnsi="Bookman Old Style"/>
          <w:b/>
          <w:sz w:val="24"/>
          <w:szCs w:val="24"/>
        </w:rPr>
      </w:pPr>
      <w:r w:rsidRPr="00992602">
        <w:rPr>
          <w:rFonts w:ascii="Bookman Old Style" w:hAnsi="Bookman Old Style"/>
          <w:b/>
          <w:sz w:val="24"/>
          <w:szCs w:val="24"/>
        </w:rPr>
        <w:t>Table 3.2</w:t>
      </w:r>
      <w:r w:rsidR="00AA443C">
        <w:rPr>
          <w:rFonts w:ascii="Bookman Old Style" w:hAnsi="Bookman Old Style"/>
          <w:b/>
          <w:sz w:val="24"/>
          <w:szCs w:val="24"/>
        </w:rPr>
        <w:t>: Nigeria Export Destination</w:t>
      </w:r>
    </w:p>
    <w:tbl>
      <w:tblPr>
        <w:tblStyle w:val="TableGrid"/>
        <w:tblW w:w="0" w:type="auto"/>
        <w:tblLook w:val="04A0" w:firstRow="1" w:lastRow="0" w:firstColumn="1" w:lastColumn="0" w:noHBand="0" w:noVBand="1"/>
      </w:tblPr>
      <w:tblGrid>
        <w:gridCol w:w="888"/>
        <w:gridCol w:w="2750"/>
        <w:gridCol w:w="1801"/>
        <w:gridCol w:w="2084"/>
        <w:gridCol w:w="1719"/>
      </w:tblGrid>
      <w:tr w:rsidR="00493D7A" w:rsidRPr="00220885" w14:paraId="6159A595" w14:textId="77777777" w:rsidTr="00493D7A">
        <w:tc>
          <w:tcPr>
            <w:tcW w:w="817" w:type="dxa"/>
          </w:tcPr>
          <w:p w14:paraId="6E64D7EA"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S/NO</w:t>
            </w:r>
          </w:p>
        </w:tc>
        <w:tc>
          <w:tcPr>
            <w:tcW w:w="2879" w:type="dxa"/>
          </w:tcPr>
          <w:p w14:paraId="2DBC27DE"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DESTINATION</w:t>
            </w:r>
          </w:p>
        </w:tc>
        <w:tc>
          <w:tcPr>
            <w:tcW w:w="1848" w:type="dxa"/>
          </w:tcPr>
          <w:p w14:paraId="26522CDE"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GROSS WEIGHT (MT)</w:t>
            </w:r>
          </w:p>
        </w:tc>
        <w:tc>
          <w:tcPr>
            <w:tcW w:w="1849" w:type="dxa"/>
          </w:tcPr>
          <w:p w14:paraId="3990037C"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EXPORT VALUE(USD)</w:t>
            </w:r>
          </w:p>
        </w:tc>
        <w:tc>
          <w:tcPr>
            <w:tcW w:w="1849" w:type="dxa"/>
          </w:tcPr>
          <w:p w14:paraId="64E286C8"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 VALUE</w:t>
            </w:r>
          </w:p>
        </w:tc>
      </w:tr>
      <w:tr w:rsidR="00493D7A" w:rsidRPr="00220885" w14:paraId="4758BAFF" w14:textId="77777777" w:rsidTr="00493D7A">
        <w:tc>
          <w:tcPr>
            <w:tcW w:w="817" w:type="dxa"/>
          </w:tcPr>
          <w:p w14:paraId="473239CB"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1</w:t>
            </w:r>
          </w:p>
        </w:tc>
        <w:tc>
          <w:tcPr>
            <w:tcW w:w="2879" w:type="dxa"/>
          </w:tcPr>
          <w:p w14:paraId="6CDFF377"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NETHERLANDS</w:t>
            </w:r>
          </w:p>
        </w:tc>
        <w:tc>
          <w:tcPr>
            <w:tcW w:w="1848" w:type="dxa"/>
          </w:tcPr>
          <w:p w14:paraId="668C0A73"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145,696.80</w:t>
            </w:r>
          </w:p>
        </w:tc>
        <w:tc>
          <w:tcPr>
            <w:tcW w:w="1849" w:type="dxa"/>
          </w:tcPr>
          <w:p w14:paraId="2579BF1C"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364,288,098.32</w:t>
            </w:r>
          </w:p>
        </w:tc>
        <w:tc>
          <w:tcPr>
            <w:tcW w:w="1849" w:type="dxa"/>
          </w:tcPr>
          <w:p w14:paraId="4AA56D23"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22.42</w:t>
            </w:r>
          </w:p>
        </w:tc>
      </w:tr>
      <w:tr w:rsidR="00493D7A" w:rsidRPr="00220885" w14:paraId="2EBC5293" w14:textId="77777777" w:rsidTr="00493D7A">
        <w:tc>
          <w:tcPr>
            <w:tcW w:w="817" w:type="dxa"/>
          </w:tcPr>
          <w:p w14:paraId="320A95F7"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2</w:t>
            </w:r>
          </w:p>
        </w:tc>
        <w:tc>
          <w:tcPr>
            <w:tcW w:w="2879" w:type="dxa"/>
          </w:tcPr>
          <w:p w14:paraId="5B27E997"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INDIA</w:t>
            </w:r>
          </w:p>
        </w:tc>
        <w:tc>
          <w:tcPr>
            <w:tcW w:w="1848" w:type="dxa"/>
          </w:tcPr>
          <w:p w14:paraId="25391CED"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46,487.52</w:t>
            </w:r>
          </w:p>
        </w:tc>
        <w:tc>
          <w:tcPr>
            <w:tcW w:w="1849" w:type="dxa"/>
          </w:tcPr>
          <w:p w14:paraId="1B176620"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118,546,415,66</w:t>
            </w:r>
          </w:p>
        </w:tc>
        <w:tc>
          <w:tcPr>
            <w:tcW w:w="1849" w:type="dxa"/>
          </w:tcPr>
          <w:p w14:paraId="6BB58BAD"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7.30</w:t>
            </w:r>
          </w:p>
        </w:tc>
      </w:tr>
      <w:tr w:rsidR="00493D7A" w:rsidRPr="00220885" w14:paraId="239C33E8" w14:textId="77777777" w:rsidTr="00493D7A">
        <w:tc>
          <w:tcPr>
            <w:tcW w:w="817" w:type="dxa"/>
          </w:tcPr>
          <w:p w14:paraId="09B8AC72"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3</w:t>
            </w:r>
          </w:p>
        </w:tc>
        <w:tc>
          <w:tcPr>
            <w:tcW w:w="2879" w:type="dxa"/>
          </w:tcPr>
          <w:p w14:paraId="0CBC3921"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GHANA</w:t>
            </w:r>
          </w:p>
        </w:tc>
        <w:tc>
          <w:tcPr>
            <w:tcW w:w="1848" w:type="dxa"/>
          </w:tcPr>
          <w:p w14:paraId="2BE864CE"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261,089.72</w:t>
            </w:r>
          </w:p>
        </w:tc>
        <w:tc>
          <w:tcPr>
            <w:tcW w:w="1849" w:type="dxa"/>
          </w:tcPr>
          <w:p w14:paraId="0D70070F"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113,305,872.17</w:t>
            </w:r>
          </w:p>
        </w:tc>
        <w:tc>
          <w:tcPr>
            <w:tcW w:w="1849" w:type="dxa"/>
          </w:tcPr>
          <w:p w14:paraId="1DCB8439"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6.97</w:t>
            </w:r>
          </w:p>
        </w:tc>
      </w:tr>
      <w:tr w:rsidR="00493D7A" w:rsidRPr="00220885" w14:paraId="24282222" w14:textId="77777777" w:rsidTr="00493D7A">
        <w:tc>
          <w:tcPr>
            <w:tcW w:w="817" w:type="dxa"/>
          </w:tcPr>
          <w:p w14:paraId="3A8023C6"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4</w:t>
            </w:r>
          </w:p>
        </w:tc>
        <w:tc>
          <w:tcPr>
            <w:tcW w:w="2879" w:type="dxa"/>
          </w:tcPr>
          <w:p w14:paraId="60E92A42"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JAPAN</w:t>
            </w:r>
          </w:p>
        </w:tc>
        <w:tc>
          <w:tcPr>
            <w:tcW w:w="1848" w:type="dxa"/>
          </w:tcPr>
          <w:p w14:paraId="6C07232E"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65,005.60</w:t>
            </w:r>
          </w:p>
        </w:tc>
        <w:tc>
          <w:tcPr>
            <w:tcW w:w="1849" w:type="dxa"/>
          </w:tcPr>
          <w:p w14:paraId="68DD898E"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93,337,783.61</w:t>
            </w:r>
          </w:p>
        </w:tc>
        <w:tc>
          <w:tcPr>
            <w:tcW w:w="1849" w:type="dxa"/>
          </w:tcPr>
          <w:p w14:paraId="15F2F184"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5.75</w:t>
            </w:r>
          </w:p>
        </w:tc>
      </w:tr>
      <w:tr w:rsidR="00493D7A" w:rsidRPr="00220885" w14:paraId="1ACF19DC" w14:textId="77777777" w:rsidTr="00493D7A">
        <w:tc>
          <w:tcPr>
            <w:tcW w:w="817" w:type="dxa"/>
          </w:tcPr>
          <w:p w14:paraId="32B22946"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5</w:t>
            </w:r>
          </w:p>
        </w:tc>
        <w:tc>
          <w:tcPr>
            <w:tcW w:w="2879" w:type="dxa"/>
          </w:tcPr>
          <w:p w14:paraId="77E641BC"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ITALY</w:t>
            </w:r>
          </w:p>
        </w:tc>
        <w:tc>
          <w:tcPr>
            <w:tcW w:w="1848" w:type="dxa"/>
          </w:tcPr>
          <w:p w14:paraId="5774CB4C"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13,082.90</w:t>
            </w:r>
          </w:p>
        </w:tc>
        <w:tc>
          <w:tcPr>
            <w:tcW w:w="1849" w:type="dxa"/>
          </w:tcPr>
          <w:p w14:paraId="36A80225"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79,165,816.29</w:t>
            </w:r>
          </w:p>
        </w:tc>
        <w:tc>
          <w:tcPr>
            <w:tcW w:w="1849" w:type="dxa"/>
          </w:tcPr>
          <w:p w14:paraId="66670F9E"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4.87</w:t>
            </w:r>
          </w:p>
        </w:tc>
      </w:tr>
      <w:tr w:rsidR="00493D7A" w:rsidRPr="00220885" w14:paraId="7740C961" w14:textId="77777777" w:rsidTr="00493D7A">
        <w:tc>
          <w:tcPr>
            <w:tcW w:w="817" w:type="dxa"/>
          </w:tcPr>
          <w:p w14:paraId="161FD142"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6</w:t>
            </w:r>
          </w:p>
        </w:tc>
        <w:tc>
          <w:tcPr>
            <w:tcW w:w="2879" w:type="dxa"/>
          </w:tcPr>
          <w:p w14:paraId="5DAB9DA0"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TURKEY</w:t>
            </w:r>
          </w:p>
        </w:tc>
        <w:tc>
          <w:tcPr>
            <w:tcW w:w="1848" w:type="dxa"/>
          </w:tcPr>
          <w:p w14:paraId="1BCAFC5D"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63,937.34</w:t>
            </w:r>
          </w:p>
        </w:tc>
        <w:tc>
          <w:tcPr>
            <w:tcW w:w="1849" w:type="dxa"/>
          </w:tcPr>
          <w:p w14:paraId="55402B37"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71,389,729.73</w:t>
            </w:r>
          </w:p>
        </w:tc>
        <w:tc>
          <w:tcPr>
            <w:tcW w:w="1849" w:type="dxa"/>
          </w:tcPr>
          <w:p w14:paraId="19C6B5FF"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4.39</w:t>
            </w:r>
          </w:p>
        </w:tc>
      </w:tr>
      <w:tr w:rsidR="00493D7A" w:rsidRPr="00220885" w14:paraId="04CA0F27" w14:textId="77777777" w:rsidTr="00493D7A">
        <w:tc>
          <w:tcPr>
            <w:tcW w:w="817" w:type="dxa"/>
          </w:tcPr>
          <w:p w14:paraId="0B7A94F7"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7</w:t>
            </w:r>
          </w:p>
        </w:tc>
        <w:tc>
          <w:tcPr>
            <w:tcW w:w="2879" w:type="dxa"/>
          </w:tcPr>
          <w:p w14:paraId="78B16B9E"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GERMANY</w:t>
            </w:r>
          </w:p>
        </w:tc>
        <w:tc>
          <w:tcPr>
            <w:tcW w:w="1848" w:type="dxa"/>
          </w:tcPr>
          <w:p w14:paraId="497A8CD3"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41,068.14</w:t>
            </w:r>
          </w:p>
        </w:tc>
        <w:tc>
          <w:tcPr>
            <w:tcW w:w="1849" w:type="dxa"/>
          </w:tcPr>
          <w:p w14:paraId="7D796160"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66,766,049.27</w:t>
            </w:r>
          </w:p>
        </w:tc>
        <w:tc>
          <w:tcPr>
            <w:tcW w:w="1849" w:type="dxa"/>
          </w:tcPr>
          <w:p w14:paraId="3499A134"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4.11</w:t>
            </w:r>
          </w:p>
        </w:tc>
      </w:tr>
      <w:tr w:rsidR="00493D7A" w:rsidRPr="00220885" w14:paraId="2D051D34" w14:textId="77777777" w:rsidTr="00493D7A">
        <w:tc>
          <w:tcPr>
            <w:tcW w:w="817" w:type="dxa"/>
          </w:tcPr>
          <w:p w14:paraId="56B3F4AD"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8</w:t>
            </w:r>
          </w:p>
        </w:tc>
        <w:tc>
          <w:tcPr>
            <w:tcW w:w="2879" w:type="dxa"/>
          </w:tcPr>
          <w:p w14:paraId="50BE82D0"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CHINA</w:t>
            </w:r>
          </w:p>
        </w:tc>
        <w:tc>
          <w:tcPr>
            <w:tcW w:w="1848" w:type="dxa"/>
          </w:tcPr>
          <w:p w14:paraId="37AD49F8"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68,472.94</w:t>
            </w:r>
          </w:p>
        </w:tc>
        <w:tc>
          <w:tcPr>
            <w:tcW w:w="1849" w:type="dxa"/>
          </w:tcPr>
          <w:p w14:paraId="0DFB71DC"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56,441,181.62</w:t>
            </w:r>
          </w:p>
        </w:tc>
        <w:tc>
          <w:tcPr>
            <w:tcW w:w="1849" w:type="dxa"/>
          </w:tcPr>
          <w:p w14:paraId="024BB255"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3.74</w:t>
            </w:r>
          </w:p>
        </w:tc>
      </w:tr>
      <w:tr w:rsidR="00493D7A" w:rsidRPr="00220885" w14:paraId="23FA5749" w14:textId="77777777" w:rsidTr="00493D7A">
        <w:tc>
          <w:tcPr>
            <w:tcW w:w="817" w:type="dxa"/>
          </w:tcPr>
          <w:p w14:paraId="383E21D2"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9</w:t>
            </w:r>
          </w:p>
        </w:tc>
        <w:tc>
          <w:tcPr>
            <w:tcW w:w="2879" w:type="dxa"/>
          </w:tcPr>
          <w:p w14:paraId="42A43C2C"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NIGER</w:t>
            </w:r>
          </w:p>
        </w:tc>
        <w:tc>
          <w:tcPr>
            <w:tcW w:w="1848" w:type="dxa"/>
          </w:tcPr>
          <w:p w14:paraId="31A53761"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93,783.05</w:t>
            </w:r>
          </w:p>
        </w:tc>
        <w:tc>
          <w:tcPr>
            <w:tcW w:w="1849" w:type="dxa"/>
          </w:tcPr>
          <w:p w14:paraId="2A4A6473"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52,919473.07</w:t>
            </w:r>
          </w:p>
        </w:tc>
        <w:tc>
          <w:tcPr>
            <w:tcW w:w="1849" w:type="dxa"/>
          </w:tcPr>
          <w:p w14:paraId="02FC4BF3"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3.26</w:t>
            </w:r>
          </w:p>
        </w:tc>
      </w:tr>
      <w:tr w:rsidR="00493D7A" w:rsidRPr="00220885" w14:paraId="4D6C35E1" w14:textId="77777777" w:rsidTr="00493D7A">
        <w:tc>
          <w:tcPr>
            <w:tcW w:w="817" w:type="dxa"/>
          </w:tcPr>
          <w:p w14:paraId="55F3533A"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10</w:t>
            </w:r>
          </w:p>
        </w:tc>
        <w:tc>
          <w:tcPr>
            <w:tcW w:w="2879" w:type="dxa"/>
          </w:tcPr>
          <w:p w14:paraId="72CCC264"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SOUTH KOREA</w:t>
            </w:r>
          </w:p>
        </w:tc>
        <w:tc>
          <w:tcPr>
            <w:tcW w:w="1848" w:type="dxa"/>
          </w:tcPr>
          <w:p w14:paraId="344A6CDE"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21,031.80</w:t>
            </w:r>
          </w:p>
        </w:tc>
        <w:tc>
          <w:tcPr>
            <w:tcW w:w="1849" w:type="dxa"/>
          </w:tcPr>
          <w:p w14:paraId="263F41EA"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50,584,862.68</w:t>
            </w:r>
          </w:p>
        </w:tc>
        <w:tc>
          <w:tcPr>
            <w:tcW w:w="1849" w:type="dxa"/>
          </w:tcPr>
          <w:p w14:paraId="63D06980" w14:textId="77777777" w:rsidR="00493D7A" w:rsidRPr="00220885" w:rsidRDefault="00493D7A" w:rsidP="00493D7A">
            <w:pPr>
              <w:jc w:val="both"/>
              <w:rPr>
                <w:rFonts w:ascii="Bookman Old Style" w:hAnsi="Bookman Old Style"/>
                <w:sz w:val="24"/>
                <w:szCs w:val="24"/>
              </w:rPr>
            </w:pPr>
            <w:r w:rsidRPr="00220885">
              <w:rPr>
                <w:rFonts w:ascii="Bookman Old Style" w:hAnsi="Bookman Old Style"/>
                <w:sz w:val="24"/>
                <w:szCs w:val="24"/>
              </w:rPr>
              <w:t>3.11</w:t>
            </w:r>
          </w:p>
        </w:tc>
      </w:tr>
    </w:tbl>
    <w:p w14:paraId="4B5BE589" w14:textId="77777777" w:rsidR="00493D7A" w:rsidRPr="0044041A" w:rsidRDefault="0044041A" w:rsidP="0044041A">
      <w:pPr>
        <w:jc w:val="both"/>
        <w:rPr>
          <w:rFonts w:ascii="Bookman Old Style" w:hAnsi="Bookman Old Style" w:cs="Times New Roman"/>
          <w:b/>
          <w:i/>
          <w:sz w:val="20"/>
          <w:szCs w:val="20"/>
        </w:rPr>
      </w:pPr>
      <w:r w:rsidRPr="0044041A">
        <w:rPr>
          <w:rFonts w:ascii="Bookman Old Style" w:hAnsi="Bookman Old Style" w:cs="Times New Roman"/>
          <w:b/>
          <w:i/>
          <w:sz w:val="20"/>
          <w:szCs w:val="20"/>
        </w:rPr>
        <w:t xml:space="preserve">Source: Nigeria Export Promotion Council </w:t>
      </w:r>
    </w:p>
    <w:p w14:paraId="1F8188B8" w14:textId="77777777" w:rsidR="00493D7A" w:rsidRPr="0044041A" w:rsidRDefault="00493D7A" w:rsidP="0044041A">
      <w:pPr>
        <w:jc w:val="both"/>
        <w:rPr>
          <w:rFonts w:ascii="Bookman Old Style" w:hAnsi="Bookman Old Style" w:cs="Times New Roman"/>
          <w:sz w:val="24"/>
          <w:szCs w:val="24"/>
        </w:rPr>
      </w:pPr>
      <w:r w:rsidRPr="0044041A">
        <w:rPr>
          <w:rFonts w:ascii="Bookman Old Style" w:hAnsi="Bookman Old Style" w:cs="Times New Roman"/>
          <w:sz w:val="24"/>
          <w:szCs w:val="24"/>
        </w:rPr>
        <w:t>The table below shows the top 10 countries importing non-oil goods from Nigeria for 2015</w:t>
      </w:r>
    </w:p>
    <w:p w14:paraId="4766CD6A" w14:textId="77777777" w:rsidR="00493D7A" w:rsidRPr="00220885" w:rsidRDefault="00493D7A" w:rsidP="00493D7A">
      <w:pPr>
        <w:jc w:val="both"/>
        <w:rPr>
          <w:rFonts w:ascii="Bookman Old Style" w:hAnsi="Bookman Old Style" w:cs="Times New Roman"/>
          <w:sz w:val="24"/>
          <w:szCs w:val="24"/>
        </w:rPr>
      </w:pPr>
      <w:r w:rsidRPr="00220885">
        <w:rPr>
          <w:rFonts w:ascii="Bookman Old Style" w:hAnsi="Bookman Old Style" w:cs="Times New Roman"/>
          <w:sz w:val="24"/>
          <w:szCs w:val="24"/>
        </w:rPr>
        <w:t xml:space="preserve">India has a population of well over one billion three hundred (1,3bn) persons as at 2015 and is expected to have a population of about one billion five hundred (1.5bn) (4) persons by 2030 and with the country standing as the second importer of our non-oil export as at 2015, there clearly exist a potential for the country to increase its purchase of our non-oil export in the coming years if it finds them attractive enough and the task well ahead for the Nigerian government is to ensure our non-oil export presently been </w:t>
      </w:r>
      <w:r w:rsidRPr="00220885">
        <w:rPr>
          <w:rFonts w:ascii="Bookman Old Style" w:hAnsi="Bookman Old Style" w:cs="Times New Roman"/>
          <w:sz w:val="24"/>
          <w:szCs w:val="24"/>
        </w:rPr>
        <w:lastRenderedPageBreak/>
        <w:t>imported by India remains and continues to improve for the country to keep patronising us.</w:t>
      </w:r>
    </w:p>
    <w:p w14:paraId="4DE33BCA" w14:textId="77777777" w:rsidR="00493D7A" w:rsidRPr="00220885" w:rsidRDefault="00493D7A" w:rsidP="00493D7A">
      <w:pPr>
        <w:jc w:val="both"/>
        <w:rPr>
          <w:rFonts w:ascii="Bookman Old Style" w:hAnsi="Bookman Old Style" w:cs="Times New Roman"/>
          <w:sz w:val="24"/>
          <w:szCs w:val="24"/>
        </w:rPr>
      </w:pPr>
      <w:r w:rsidRPr="00220885">
        <w:rPr>
          <w:rFonts w:ascii="Bookman Old Style" w:hAnsi="Bookman Old Style" w:cs="Times New Roman"/>
          <w:sz w:val="24"/>
          <w:szCs w:val="24"/>
        </w:rPr>
        <w:t>The combined population growth estimation for Netherlands, Ghana, Japan, Italy, Turkey and Germany by 2030 is estimated at four hundred and eleven million, six hundred and fifty thousand, seven hundred and twenty (411,650,720) (5) and with rising population most definitely comes rising food demands and presenting Nigeria with a huge potential for improved earnings from our non-oil export, but again, we need to understand the dynamics behind the market demand for non-oil exports the world over.</w:t>
      </w:r>
    </w:p>
    <w:p w14:paraId="21799DE2" w14:textId="77777777" w:rsidR="00493D7A" w:rsidRPr="00220885" w:rsidRDefault="00493D7A" w:rsidP="00493D7A">
      <w:pPr>
        <w:jc w:val="both"/>
        <w:rPr>
          <w:rFonts w:ascii="Bookman Old Style" w:hAnsi="Bookman Old Style" w:cs="Times New Roman"/>
          <w:sz w:val="24"/>
          <w:szCs w:val="24"/>
        </w:rPr>
      </w:pPr>
      <w:r w:rsidRPr="00220885">
        <w:rPr>
          <w:rFonts w:ascii="Bookman Old Style" w:hAnsi="Bookman Old Style" w:cs="Times New Roman"/>
          <w:sz w:val="24"/>
          <w:szCs w:val="24"/>
        </w:rPr>
        <w:t xml:space="preserve">Rising world population presents Nigeria with a huge potential for improved non-oil export earnings as the demand for food would continue to increase across the world and the demand will come with it huge food import demand from countries with less food production capabilities than Nigeria, the potentials will translate to export earnings if and when our Nigeria Agriculture Research Services (NARS) contributes its quota to the drive to improve our cropping intensity and our National Agriculture Resilience Framework (NARF) is improved upon to enable us adapt to climate smart agriculture and help small holder farmers improve their growing conditions to adequately address  the challenges of climate changes on agribusiness.  </w:t>
      </w:r>
    </w:p>
    <w:p w14:paraId="51AAB759" w14:textId="77777777" w:rsidR="00493D7A" w:rsidRPr="00220885" w:rsidRDefault="00493D7A" w:rsidP="00493D7A">
      <w:pPr>
        <w:jc w:val="both"/>
        <w:rPr>
          <w:rFonts w:ascii="Bookman Old Style" w:hAnsi="Bookman Old Style" w:cs="Times New Roman"/>
          <w:sz w:val="24"/>
          <w:szCs w:val="24"/>
        </w:rPr>
      </w:pPr>
    </w:p>
    <w:p w14:paraId="1D48BFC7" w14:textId="40C47F5E" w:rsidR="00493D7A" w:rsidRPr="00992602" w:rsidRDefault="00992602" w:rsidP="00AA443C">
      <w:pPr>
        <w:spacing w:after="0"/>
        <w:jc w:val="both"/>
        <w:rPr>
          <w:rFonts w:ascii="Bookman Old Style" w:hAnsi="Bookman Old Style" w:cs="Times New Roman"/>
          <w:b/>
          <w:sz w:val="24"/>
          <w:szCs w:val="24"/>
        </w:rPr>
      </w:pPr>
      <w:r w:rsidRPr="00992602">
        <w:rPr>
          <w:rFonts w:ascii="Bookman Old Style" w:hAnsi="Bookman Old Style" w:cs="Times New Roman"/>
          <w:b/>
          <w:sz w:val="24"/>
          <w:szCs w:val="24"/>
        </w:rPr>
        <w:t xml:space="preserve">3.3 </w:t>
      </w:r>
      <w:r w:rsidR="00AA443C" w:rsidRPr="00992602">
        <w:rPr>
          <w:rFonts w:ascii="Bookman Old Style" w:hAnsi="Bookman Old Style" w:cs="Times New Roman"/>
          <w:b/>
          <w:sz w:val="24"/>
          <w:szCs w:val="24"/>
        </w:rPr>
        <w:t xml:space="preserve">Medium Term Opportunities </w:t>
      </w:r>
    </w:p>
    <w:p w14:paraId="0AF20518" w14:textId="77777777" w:rsidR="00493D7A" w:rsidRPr="00220885" w:rsidRDefault="00493D7A" w:rsidP="00493D7A">
      <w:pPr>
        <w:jc w:val="both"/>
        <w:rPr>
          <w:rFonts w:ascii="Bookman Old Style" w:hAnsi="Bookman Old Style" w:cs="Times New Roman"/>
          <w:sz w:val="24"/>
          <w:szCs w:val="24"/>
        </w:rPr>
      </w:pPr>
      <w:r w:rsidRPr="00220885">
        <w:rPr>
          <w:rFonts w:ascii="Bookman Old Style" w:hAnsi="Bookman Old Style" w:cs="Times New Roman"/>
          <w:sz w:val="24"/>
          <w:szCs w:val="24"/>
        </w:rPr>
        <w:t>The Zero oil plan as produced by the Nigeria Export Promotion Council seeks to place greater attention going forward on crops for which Nigeria has greater comparative advantage and for which it is projected that more foreign exchange can be earned by the country, the Zero oil plan should represent the medium term opportunities for the Nigerian state as it seeks avenues to improve on its foreign exchange earnings from non-oil exports.</w:t>
      </w:r>
    </w:p>
    <w:p w14:paraId="01BA2E5B" w14:textId="77777777" w:rsidR="00493D7A" w:rsidRDefault="00493D7A" w:rsidP="00493D7A">
      <w:pPr>
        <w:jc w:val="both"/>
        <w:rPr>
          <w:rFonts w:ascii="Bookman Old Style" w:hAnsi="Bookman Old Style" w:cs="Times New Roman"/>
          <w:sz w:val="24"/>
          <w:szCs w:val="24"/>
        </w:rPr>
      </w:pPr>
      <w:r w:rsidRPr="00220885">
        <w:rPr>
          <w:rFonts w:ascii="Bookman Old Style" w:hAnsi="Bookman Old Style" w:cs="Times New Roman"/>
          <w:sz w:val="24"/>
          <w:szCs w:val="24"/>
        </w:rPr>
        <w:t>Our medium term opportunities should focus on crops for which little or no foreign exchange is presently been earned but for which Nigeria has great potential to earn significant foreign exchange from, the crops are as listed below;</w:t>
      </w:r>
    </w:p>
    <w:p w14:paraId="5E911B38" w14:textId="3943D4A4" w:rsidR="00992602" w:rsidRPr="00AA443C" w:rsidRDefault="00992602" w:rsidP="00AA443C">
      <w:pPr>
        <w:spacing w:after="0"/>
        <w:jc w:val="both"/>
        <w:rPr>
          <w:rFonts w:ascii="Bookman Old Style" w:hAnsi="Bookman Old Style" w:cs="Times New Roman"/>
          <w:b/>
          <w:sz w:val="24"/>
          <w:szCs w:val="24"/>
        </w:rPr>
      </w:pPr>
      <w:r w:rsidRPr="00AA443C">
        <w:rPr>
          <w:rFonts w:ascii="Bookman Old Style" w:hAnsi="Bookman Old Style" w:cs="Times New Roman"/>
          <w:b/>
          <w:sz w:val="24"/>
          <w:szCs w:val="24"/>
        </w:rPr>
        <w:t>Table 3.3</w:t>
      </w:r>
      <w:r w:rsidR="00AA443C" w:rsidRPr="00AA443C">
        <w:rPr>
          <w:rFonts w:ascii="Bookman Old Style" w:hAnsi="Bookman Old Style" w:cs="Times New Roman"/>
          <w:b/>
          <w:sz w:val="24"/>
          <w:szCs w:val="24"/>
        </w:rPr>
        <w:t>: Selected Nigeria Exports</w:t>
      </w:r>
    </w:p>
    <w:tbl>
      <w:tblPr>
        <w:tblStyle w:val="TableGrid"/>
        <w:tblW w:w="0" w:type="auto"/>
        <w:tblLook w:val="04A0" w:firstRow="1" w:lastRow="0" w:firstColumn="1" w:lastColumn="0" w:noHBand="0" w:noVBand="1"/>
      </w:tblPr>
      <w:tblGrid>
        <w:gridCol w:w="4503"/>
      </w:tblGrid>
      <w:tr w:rsidR="00493D7A" w:rsidRPr="00220885" w14:paraId="2118B304" w14:textId="77777777" w:rsidTr="00493D7A">
        <w:tc>
          <w:tcPr>
            <w:tcW w:w="4503" w:type="dxa"/>
          </w:tcPr>
          <w:p w14:paraId="7FCE1C18" w14:textId="77777777" w:rsidR="00493D7A" w:rsidRPr="00220885" w:rsidRDefault="00493D7A" w:rsidP="00493D7A">
            <w:pPr>
              <w:jc w:val="both"/>
              <w:rPr>
                <w:rFonts w:ascii="Bookman Old Style" w:hAnsi="Bookman Old Style" w:cs="Times New Roman"/>
                <w:sz w:val="24"/>
                <w:szCs w:val="24"/>
              </w:rPr>
            </w:pPr>
            <w:r w:rsidRPr="00220885">
              <w:rPr>
                <w:rFonts w:ascii="Bookman Old Style" w:hAnsi="Bookman Old Style" w:cs="BookAntiqua"/>
                <w:sz w:val="24"/>
                <w:szCs w:val="24"/>
              </w:rPr>
              <w:t>Palm Oil</w:t>
            </w:r>
          </w:p>
        </w:tc>
      </w:tr>
      <w:tr w:rsidR="00493D7A" w:rsidRPr="00220885" w14:paraId="30008A4E" w14:textId="77777777" w:rsidTr="00493D7A">
        <w:tc>
          <w:tcPr>
            <w:tcW w:w="4503" w:type="dxa"/>
          </w:tcPr>
          <w:p w14:paraId="4B986251" w14:textId="77777777" w:rsidR="00493D7A" w:rsidRPr="00220885" w:rsidRDefault="00493D7A" w:rsidP="00493D7A">
            <w:pPr>
              <w:jc w:val="both"/>
              <w:rPr>
                <w:rFonts w:ascii="Bookman Old Style" w:hAnsi="Bookman Old Style" w:cs="Times New Roman"/>
                <w:sz w:val="24"/>
                <w:szCs w:val="24"/>
              </w:rPr>
            </w:pPr>
            <w:r w:rsidRPr="00220885">
              <w:rPr>
                <w:rFonts w:ascii="Bookman Old Style" w:hAnsi="Bookman Old Style" w:cs="BookAntiqua"/>
                <w:sz w:val="24"/>
                <w:szCs w:val="24"/>
              </w:rPr>
              <w:t>Cocoa</w:t>
            </w:r>
          </w:p>
        </w:tc>
      </w:tr>
      <w:tr w:rsidR="00493D7A" w:rsidRPr="00220885" w14:paraId="201EF62F" w14:textId="77777777" w:rsidTr="00493D7A">
        <w:tc>
          <w:tcPr>
            <w:tcW w:w="4503" w:type="dxa"/>
          </w:tcPr>
          <w:p w14:paraId="1FC693C0" w14:textId="77777777" w:rsidR="00493D7A" w:rsidRPr="00220885" w:rsidRDefault="00493D7A" w:rsidP="00493D7A">
            <w:pPr>
              <w:jc w:val="both"/>
              <w:rPr>
                <w:rFonts w:ascii="Bookman Old Style" w:hAnsi="Bookman Old Style" w:cs="Times New Roman"/>
                <w:sz w:val="24"/>
                <w:szCs w:val="24"/>
              </w:rPr>
            </w:pPr>
            <w:r w:rsidRPr="00220885">
              <w:rPr>
                <w:rFonts w:ascii="Bookman Old Style" w:hAnsi="Bookman Old Style" w:cs="BookAntiqua"/>
                <w:sz w:val="24"/>
                <w:szCs w:val="24"/>
              </w:rPr>
              <w:t>Cotton</w:t>
            </w:r>
          </w:p>
        </w:tc>
      </w:tr>
      <w:tr w:rsidR="00493D7A" w:rsidRPr="00220885" w14:paraId="7D7A9E60" w14:textId="77777777" w:rsidTr="00493D7A">
        <w:tc>
          <w:tcPr>
            <w:tcW w:w="4503" w:type="dxa"/>
          </w:tcPr>
          <w:p w14:paraId="5ED71CD9" w14:textId="77777777" w:rsidR="00493D7A" w:rsidRPr="00220885" w:rsidRDefault="00493D7A" w:rsidP="00493D7A">
            <w:pPr>
              <w:jc w:val="both"/>
              <w:rPr>
                <w:rFonts w:ascii="Bookman Old Style" w:hAnsi="Bookman Old Style" w:cs="Times New Roman"/>
                <w:sz w:val="24"/>
                <w:szCs w:val="24"/>
              </w:rPr>
            </w:pPr>
            <w:r w:rsidRPr="00220885">
              <w:rPr>
                <w:rFonts w:ascii="Bookman Old Style" w:hAnsi="Bookman Old Style" w:cs="BookAntiqua"/>
                <w:sz w:val="24"/>
                <w:szCs w:val="24"/>
              </w:rPr>
              <w:t>Leather</w:t>
            </w:r>
          </w:p>
        </w:tc>
      </w:tr>
      <w:tr w:rsidR="00493D7A" w:rsidRPr="00220885" w14:paraId="7017333D" w14:textId="77777777" w:rsidTr="00493D7A">
        <w:tc>
          <w:tcPr>
            <w:tcW w:w="4503" w:type="dxa"/>
          </w:tcPr>
          <w:p w14:paraId="641AB824" w14:textId="77777777" w:rsidR="00493D7A" w:rsidRPr="00220885" w:rsidRDefault="00493D7A" w:rsidP="00493D7A">
            <w:pPr>
              <w:jc w:val="both"/>
              <w:rPr>
                <w:rFonts w:ascii="Bookman Old Style" w:hAnsi="Bookman Old Style" w:cs="Times New Roman"/>
                <w:sz w:val="24"/>
                <w:szCs w:val="24"/>
              </w:rPr>
            </w:pPr>
            <w:r w:rsidRPr="00220885">
              <w:rPr>
                <w:rFonts w:ascii="Bookman Old Style" w:hAnsi="Bookman Old Style" w:cs="BookAntiqua"/>
                <w:sz w:val="24"/>
                <w:szCs w:val="24"/>
              </w:rPr>
              <w:t>Petrochemicals</w:t>
            </w:r>
          </w:p>
        </w:tc>
      </w:tr>
      <w:tr w:rsidR="00493D7A" w:rsidRPr="00220885" w14:paraId="682E650E" w14:textId="77777777" w:rsidTr="00493D7A">
        <w:tc>
          <w:tcPr>
            <w:tcW w:w="4503" w:type="dxa"/>
          </w:tcPr>
          <w:p w14:paraId="45159628" w14:textId="77777777" w:rsidR="00493D7A" w:rsidRPr="00220885" w:rsidRDefault="00493D7A" w:rsidP="00493D7A">
            <w:pPr>
              <w:jc w:val="both"/>
              <w:rPr>
                <w:rFonts w:ascii="Bookman Old Style" w:hAnsi="Bookman Old Style" w:cs="Times New Roman"/>
                <w:sz w:val="24"/>
                <w:szCs w:val="24"/>
              </w:rPr>
            </w:pPr>
            <w:r w:rsidRPr="00220885">
              <w:rPr>
                <w:rFonts w:ascii="Bookman Old Style" w:hAnsi="Bookman Old Style" w:cs="BookAntiqua"/>
                <w:sz w:val="24"/>
                <w:szCs w:val="24"/>
              </w:rPr>
              <w:t>Nitrogenous Fertilizer</w:t>
            </w:r>
          </w:p>
        </w:tc>
      </w:tr>
      <w:tr w:rsidR="00493D7A" w:rsidRPr="00220885" w14:paraId="11C49309" w14:textId="77777777" w:rsidTr="00493D7A">
        <w:tc>
          <w:tcPr>
            <w:tcW w:w="4503" w:type="dxa"/>
          </w:tcPr>
          <w:p w14:paraId="56E7B2D6" w14:textId="77777777" w:rsidR="00493D7A" w:rsidRPr="00220885" w:rsidRDefault="00493D7A" w:rsidP="00493D7A">
            <w:pPr>
              <w:jc w:val="both"/>
              <w:rPr>
                <w:rFonts w:ascii="Bookman Old Style" w:hAnsi="Bookman Old Style" w:cs="Times New Roman"/>
                <w:sz w:val="24"/>
                <w:szCs w:val="24"/>
              </w:rPr>
            </w:pPr>
            <w:r w:rsidRPr="00220885">
              <w:rPr>
                <w:rFonts w:ascii="Bookman Old Style" w:hAnsi="Bookman Old Style" w:cs="BookAntiqua"/>
                <w:sz w:val="24"/>
                <w:szCs w:val="24"/>
              </w:rPr>
              <w:t>Cement</w:t>
            </w:r>
          </w:p>
        </w:tc>
      </w:tr>
      <w:tr w:rsidR="00493D7A" w:rsidRPr="00220885" w14:paraId="496DEF94" w14:textId="77777777" w:rsidTr="00493D7A">
        <w:tc>
          <w:tcPr>
            <w:tcW w:w="4503" w:type="dxa"/>
          </w:tcPr>
          <w:p w14:paraId="3D498B33" w14:textId="77777777" w:rsidR="00493D7A" w:rsidRPr="00220885" w:rsidRDefault="00493D7A" w:rsidP="00493D7A">
            <w:pPr>
              <w:jc w:val="both"/>
              <w:rPr>
                <w:rFonts w:ascii="Bookman Old Style" w:hAnsi="Bookman Old Style" w:cs="Times New Roman"/>
                <w:sz w:val="24"/>
                <w:szCs w:val="24"/>
              </w:rPr>
            </w:pPr>
            <w:r w:rsidRPr="00220885">
              <w:rPr>
                <w:rFonts w:ascii="Bookman Old Style" w:hAnsi="Bookman Old Style" w:cs="BookAntiqua"/>
                <w:sz w:val="24"/>
                <w:szCs w:val="24"/>
              </w:rPr>
              <w:t>Gold</w:t>
            </w:r>
          </w:p>
        </w:tc>
      </w:tr>
      <w:tr w:rsidR="00493D7A" w:rsidRPr="00220885" w14:paraId="4DC4C5CC" w14:textId="77777777" w:rsidTr="00493D7A">
        <w:tc>
          <w:tcPr>
            <w:tcW w:w="4503" w:type="dxa"/>
          </w:tcPr>
          <w:p w14:paraId="198CE89E" w14:textId="77777777" w:rsidR="00493D7A" w:rsidRPr="00220885" w:rsidRDefault="00493D7A" w:rsidP="00493D7A">
            <w:pPr>
              <w:jc w:val="both"/>
              <w:rPr>
                <w:rFonts w:ascii="Bookman Old Style" w:hAnsi="Bookman Old Style" w:cs="BookAntiqua"/>
                <w:sz w:val="24"/>
                <w:szCs w:val="24"/>
              </w:rPr>
            </w:pPr>
            <w:r w:rsidRPr="00220885">
              <w:rPr>
                <w:rFonts w:ascii="Bookman Old Style" w:hAnsi="Bookman Old Style" w:cs="BookAntiqua"/>
                <w:sz w:val="24"/>
                <w:szCs w:val="24"/>
              </w:rPr>
              <w:t>Soybeans</w:t>
            </w:r>
          </w:p>
        </w:tc>
      </w:tr>
      <w:tr w:rsidR="00493D7A" w:rsidRPr="00220885" w14:paraId="3B362E8C" w14:textId="77777777" w:rsidTr="00493D7A">
        <w:tc>
          <w:tcPr>
            <w:tcW w:w="4503" w:type="dxa"/>
          </w:tcPr>
          <w:p w14:paraId="10E4F921" w14:textId="77777777" w:rsidR="00493D7A" w:rsidRPr="00220885" w:rsidRDefault="00493D7A" w:rsidP="00493D7A">
            <w:pPr>
              <w:jc w:val="both"/>
              <w:rPr>
                <w:rFonts w:ascii="Bookman Old Style" w:hAnsi="Bookman Old Style" w:cs="BookAntiqua"/>
                <w:sz w:val="24"/>
                <w:szCs w:val="24"/>
              </w:rPr>
            </w:pPr>
            <w:r w:rsidRPr="00220885">
              <w:rPr>
                <w:rFonts w:ascii="Bookman Old Style" w:hAnsi="Bookman Old Style" w:cs="BookAntiqua"/>
                <w:sz w:val="24"/>
                <w:szCs w:val="24"/>
              </w:rPr>
              <w:t>Rubber</w:t>
            </w:r>
          </w:p>
        </w:tc>
      </w:tr>
      <w:tr w:rsidR="00493D7A" w:rsidRPr="00220885" w14:paraId="48590A01" w14:textId="77777777" w:rsidTr="00493D7A">
        <w:tc>
          <w:tcPr>
            <w:tcW w:w="4503" w:type="dxa"/>
          </w:tcPr>
          <w:p w14:paraId="28A4763F" w14:textId="77777777" w:rsidR="00493D7A" w:rsidRPr="00220885" w:rsidRDefault="00493D7A" w:rsidP="00493D7A">
            <w:pPr>
              <w:jc w:val="both"/>
              <w:rPr>
                <w:rFonts w:ascii="Bookman Old Style" w:hAnsi="Bookman Old Style" w:cs="BookAntiqua"/>
                <w:sz w:val="24"/>
                <w:szCs w:val="24"/>
              </w:rPr>
            </w:pPr>
            <w:r w:rsidRPr="00220885">
              <w:rPr>
                <w:rFonts w:ascii="Bookman Old Style" w:hAnsi="Bookman Old Style" w:cs="BookAntiqua"/>
                <w:sz w:val="24"/>
                <w:szCs w:val="24"/>
              </w:rPr>
              <w:lastRenderedPageBreak/>
              <w:t>Cashews</w:t>
            </w:r>
          </w:p>
        </w:tc>
      </w:tr>
      <w:tr w:rsidR="00493D7A" w:rsidRPr="00220885" w14:paraId="5EE741BD" w14:textId="77777777" w:rsidTr="00493D7A">
        <w:tc>
          <w:tcPr>
            <w:tcW w:w="4503" w:type="dxa"/>
          </w:tcPr>
          <w:p w14:paraId="1AE1AE45" w14:textId="77777777" w:rsidR="00493D7A" w:rsidRPr="00220885" w:rsidRDefault="00493D7A" w:rsidP="00493D7A">
            <w:pPr>
              <w:jc w:val="both"/>
              <w:rPr>
                <w:rFonts w:ascii="Bookman Old Style" w:hAnsi="Bookman Old Style" w:cs="BookAntiqua"/>
                <w:sz w:val="24"/>
                <w:szCs w:val="24"/>
              </w:rPr>
            </w:pPr>
            <w:r w:rsidRPr="00220885">
              <w:rPr>
                <w:rFonts w:ascii="Bookman Old Style" w:hAnsi="Bookman Old Style" w:cs="BookAntiqua"/>
                <w:sz w:val="24"/>
                <w:szCs w:val="24"/>
              </w:rPr>
              <w:t>Ginger &amp; Spices</w:t>
            </w:r>
          </w:p>
        </w:tc>
      </w:tr>
      <w:tr w:rsidR="00493D7A" w:rsidRPr="00220885" w14:paraId="57287743" w14:textId="77777777" w:rsidTr="00493D7A">
        <w:tc>
          <w:tcPr>
            <w:tcW w:w="4503" w:type="dxa"/>
          </w:tcPr>
          <w:p w14:paraId="68D1E419" w14:textId="77777777" w:rsidR="00493D7A" w:rsidRPr="00220885" w:rsidRDefault="00493D7A" w:rsidP="00493D7A">
            <w:pPr>
              <w:jc w:val="both"/>
              <w:rPr>
                <w:rFonts w:ascii="Bookman Old Style" w:hAnsi="Bookman Old Style" w:cs="BookAntiqua"/>
                <w:sz w:val="24"/>
                <w:szCs w:val="24"/>
              </w:rPr>
            </w:pPr>
            <w:r w:rsidRPr="00220885">
              <w:rPr>
                <w:rFonts w:ascii="Bookman Old Style" w:hAnsi="Bookman Old Style" w:cs="BookAntiqua"/>
                <w:sz w:val="24"/>
                <w:szCs w:val="24"/>
              </w:rPr>
              <w:t>Sesame</w:t>
            </w:r>
          </w:p>
        </w:tc>
      </w:tr>
    </w:tbl>
    <w:p w14:paraId="4674198F" w14:textId="5A395223" w:rsidR="00493D7A" w:rsidRDefault="00AA443C" w:rsidP="00493D7A">
      <w:pPr>
        <w:jc w:val="both"/>
        <w:rPr>
          <w:rFonts w:ascii="Bookman Old Style" w:hAnsi="Bookman Old Style" w:cs="Times New Roman"/>
          <w:b/>
          <w:i/>
          <w:sz w:val="20"/>
          <w:szCs w:val="20"/>
        </w:rPr>
      </w:pPr>
      <w:r w:rsidRPr="0044041A">
        <w:rPr>
          <w:rFonts w:ascii="Bookman Old Style" w:hAnsi="Bookman Old Style" w:cs="Times New Roman"/>
          <w:b/>
          <w:i/>
          <w:sz w:val="20"/>
          <w:szCs w:val="20"/>
        </w:rPr>
        <w:t xml:space="preserve">Source: Nigeria Export Promotion Council </w:t>
      </w:r>
    </w:p>
    <w:p w14:paraId="6410ED7E" w14:textId="77777777" w:rsidR="00AA443C" w:rsidRPr="00AA443C" w:rsidRDefault="00AA443C" w:rsidP="00493D7A">
      <w:pPr>
        <w:jc w:val="both"/>
        <w:rPr>
          <w:rFonts w:ascii="Bookman Old Style" w:hAnsi="Bookman Old Style" w:cs="Times New Roman"/>
          <w:b/>
          <w:i/>
          <w:sz w:val="20"/>
          <w:szCs w:val="20"/>
        </w:rPr>
      </w:pPr>
    </w:p>
    <w:p w14:paraId="6F056314" w14:textId="77777777" w:rsidR="00493D7A" w:rsidRPr="00220885" w:rsidRDefault="00493D7A" w:rsidP="00493D7A">
      <w:pPr>
        <w:jc w:val="both"/>
        <w:rPr>
          <w:rFonts w:ascii="Bookman Old Style" w:hAnsi="Bookman Old Style" w:cs="Times New Roman"/>
          <w:sz w:val="24"/>
          <w:szCs w:val="24"/>
        </w:rPr>
      </w:pPr>
      <w:r w:rsidRPr="00220885">
        <w:rPr>
          <w:rFonts w:ascii="Bookman Old Style" w:hAnsi="Bookman Old Style" w:cs="Times New Roman"/>
          <w:sz w:val="24"/>
          <w:szCs w:val="24"/>
        </w:rPr>
        <w:t>The crops listed above have huge export potentials and are presently not earning significant foreign exchange for Nigeria; it is our contention that these crops should be in our/NEPC medium term plans and not short term, reason largely been that we presently do not have the right structures/ecosystem to support the production of these crops and shifting emphasis from the present top ten foreign exchange earners to these crops for which we project to have greater comparative advantage might not turn out well for the country.</w:t>
      </w:r>
    </w:p>
    <w:p w14:paraId="525C4871" w14:textId="1073A868" w:rsidR="00493D7A" w:rsidRPr="00220885" w:rsidRDefault="00493D7A" w:rsidP="00493D7A">
      <w:pPr>
        <w:jc w:val="both"/>
        <w:rPr>
          <w:rFonts w:ascii="Bookman Old Style" w:hAnsi="Bookman Old Style" w:cs="Times New Roman"/>
          <w:sz w:val="24"/>
          <w:szCs w:val="24"/>
        </w:rPr>
      </w:pPr>
      <w:r w:rsidRPr="00220885">
        <w:rPr>
          <w:rFonts w:ascii="Bookman Old Style" w:hAnsi="Bookman Old Style" w:cs="Times New Roman"/>
          <w:sz w:val="24"/>
          <w:szCs w:val="24"/>
        </w:rPr>
        <w:t>Our medium term opportunities as listed above should receive a great deal of support and planning from all relevant agencies of government to enable the provision of the right ecosystem that would encourage and support the production of the crops that have medium term opportunities for earning significant foreign exchange for the country.</w:t>
      </w:r>
    </w:p>
    <w:p w14:paraId="3953EC52" w14:textId="07A69868" w:rsidR="00493D7A" w:rsidRPr="00220885" w:rsidRDefault="00493D7A" w:rsidP="00493D7A">
      <w:pPr>
        <w:jc w:val="both"/>
        <w:rPr>
          <w:rFonts w:ascii="Bookman Old Style" w:hAnsi="Bookman Old Style" w:cs="Times New Roman"/>
          <w:sz w:val="24"/>
          <w:szCs w:val="24"/>
        </w:rPr>
      </w:pPr>
      <w:r w:rsidRPr="00220885">
        <w:rPr>
          <w:rFonts w:ascii="Bookman Old Style" w:hAnsi="Bookman Old Style" w:cs="Times New Roman"/>
          <w:sz w:val="24"/>
          <w:szCs w:val="24"/>
        </w:rPr>
        <w:t xml:space="preserve">It </w:t>
      </w:r>
      <w:r w:rsidR="00953A07">
        <w:rPr>
          <w:rFonts w:ascii="Bookman Old Style" w:hAnsi="Bookman Old Style" w:cs="Times New Roman"/>
          <w:sz w:val="24"/>
          <w:szCs w:val="24"/>
        </w:rPr>
        <w:t xml:space="preserve">should also be noted that these </w:t>
      </w:r>
      <w:r w:rsidRPr="00220885">
        <w:rPr>
          <w:rFonts w:ascii="Bookman Old Style" w:hAnsi="Bookman Old Style" w:cs="Times New Roman"/>
          <w:sz w:val="24"/>
          <w:szCs w:val="24"/>
        </w:rPr>
        <w:t xml:space="preserve">potential can only be tapped into by the Nigerian state if the right structures are put in place, we must be able to improve first on the present top ten foreign exchange earners for us before thinking of the crops for which we have comparative advantage but presently do not have the enabling ecosystem for their production. </w:t>
      </w:r>
    </w:p>
    <w:p w14:paraId="639DD463" w14:textId="77777777" w:rsidR="00493D7A" w:rsidRPr="00220885" w:rsidRDefault="00493D7A" w:rsidP="00493D7A">
      <w:pPr>
        <w:jc w:val="both"/>
        <w:rPr>
          <w:rFonts w:ascii="Bookman Old Style" w:hAnsi="Bookman Old Style" w:cs="Times New Roman"/>
          <w:sz w:val="24"/>
          <w:szCs w:val="24"/>
        </w:rPr>
      </w:pPr>
    </w:p>
    <w:p w14:paraId="38E9C88F" w14:textId="5A7C854C" w:rsidR="00493D7A" w:rsidRPr="000A7E3C" w:rsidRDefault="00AA443C" w:rsidP="00AA443C">
      <w:pPr>
        <w:spacing w:after="0"/>
        <w:jc w:val="both"/>
        <w:rPr>
          <w:rFonts w:ascii="Bookman Old Style" w:hAnsi="Bookman Old Style" w:cs="Times New Roman"/>
          <w:b/>
          <w:sz w:val="24"/>
          <w:szCs w:val="24"/>
        </w:rPr>
      </w:pPr>
      <w:r w:rsidRPr="000A7E3C">
        <w:rPr>
          <w:rFonts w:ascii="Bookman Old Style" w:hAnsi="Bookman Old Style" w:cs="Times New Roman"/>
          <w:b/>
          <w:sz w:val="24"/>
          <w:szCs w:val="24"/>
        </w:rPr>
        <w:t>3.4 Long Term Opportunit</w:t>
      </w:r>
      <w:r>
        <w:rPr>
          <w:rFonts w:ascii="Bookman Old Style" w:hAnsi="Bookman Old Style" w:cs="Times New Roman"/>
          <w:b/>
          <w:sz w:val="24"/>
          <w:szCs w:val="24"/>
        </w:rPr>
        <w:t>i</w:t>
      </w:r>
      <w:r w:rsidRPr="000A7E3C">
        <w:rPr>
          <w:rFonts w:ascii="Bookman Old Style" w:hAnsi="Bookman Old Style" w:cs="Times New Roman"/>
          <w:b/>
          <w:sz w:val="24"/>
          <w:szCs w:val="24"/>
        </w:rPr>
        <w:t xml:space="preserve">es </w:t>
      </w:r>
    </w:p>
    <w:p w14:paraId="7BBFF3AE" w14:textId="77777777" w:rsidR="00493D7A" w:rsidRPr="00220885" w:rsidRDefault="00493D7A" w:rsidP="00493D7A">
      <w:pPr>
        <w:jc w:val="both"/>
        <w:rPr>
          <w:rFonts w:ascii="Bookman Old Style" w:hAnsi="Bookman Old Style" w:cs="Times New Roman"/>
          <w:sz w:val="24"/>
          <w:szCs w:val="24"/>
        </w:rPr>
      </w:pPr>
      <w:r w:rsidRPr="00220885">
        <w:rPr>
          <w:rFonts w:ascii="Bookman Old Style" w:hAnsi="Bookman Old Style" w:cs="Times New Roman"/>
          <w:sz w:val="24"/>
          <w:szCs w:val="24"/>
        </w:rPr>
        <w:t>The Nigerian state can do well to put up enabling structures to facilitate the following that will enable it sustain its earnings from non-oil export in the long term;</w:t>
      </w:r>
    </w:p>
    <w:p w14:paraId="0DF46355" w14:textId="77777777" w:rsidR="00493D7A" w:rsidRPr="00220885" w:rsidRDefault="00493D7A" w:rsidP="00493D7A">
      <w:pPr>
        <w:pStyle w:val="ListParagraph"/>
        <w:numPr>
          <w:ilvl w:val="0"/>
          <w:numId w:val="9"/>
        </w:numPr>
        <w:spacing w:after="200" w:line="276" w:lineRule="auto"/>
        <w:jc w:val="both"/>
        <w:rPr>
          <w:rFonts w:ascii="Bookman Old Style" w:hAnsi="Bookman Old Style" w:cs="Times New Roman"/>
          <w:sz w:val="24"/>
          <w:szCs w:val="24"/>
        </w:rPr>
      </w:pPr>
      <w:r w:rsidRPr="00220885">
        <w:rPr>
          <w:rFonts w:ascii="Bookman Old Style" w:hAnsi="Bookman Old Style" w:cs="Times New Roman"/>
          <w:sz w:val="24"/>
          <w:szCs w:val="24"/>
        </w:rPr>
        <w:t>Restructure and reposition the Nigeria Agriculture Research Services</w:t>
      </w:r>
    </w:p>
    <w:p w14:paraId="739376F0" w14:textId="77777777" w:rsidR="00493D7A" w:rsidRPr="00220885" w:rsidRDefault="00493D7A" w:rsidP="00493D7A">
      <w:pPr>
        <w:pStyle w:val="ListParagraph"/>
        <w:numPr>
          <w:ilvl w:val="0"/>
          <w:numId w:val="9"/>
        </w:numPr>
        <w:spacing w:after="200" w:line="276" w:lineRule="auto"/>
        <w:jc w:val="both"/>
        <w:rPr>
          <w:rFonts w:ascii="Bookman Old Style" w:hAnsi="Bookman Old Style" w:cs="Times New Roman"/>
          <w:sz w:val="24"/>
          <w:szCs w:val="24"/>
        </w:rPr>
      </w:pPr>
      <w:r w:rsidRPr="00220885">
        <w:rPr>
          <w:rFonts w:ascii="Bookman Old Style" w:hAnsi="Bookman Old Style" w:cs="Times New Roman"/>
          <w:sz w:val="24"/>
          <w:szCs w:val="24"/>
        </w:rPr>
        <w:t xml:space="preserve">Operationalize the Nigeria Agriculture Resilience Framework </w:t>
      </w:r>
    </w:p>
    <w:p w14:paraId="7B46C4D4" w14:textId="77777777" w:rsidR="00493D7A" w:rsidRPr="00220885" w:rsidRDefault="00493D7A" w:rsidP="00493D7A">
      <w:pPr>
        <w:pStyle w:val="ListParagraph"/>
        <w:numPr>
          <w:ilvl w:val="0"/>
          <w:numId w:val="9"/>
        </w:numPr>
        <w:spacing w:after="200" w:line="276" w:lineRule="auto"/>
        <w:jc w:val="both"/>
        <w:rPr>
          <w:rFonts w:ascii="Bookman Old Style" w:hAnsi="Bookman Old Style" w:cs="Times New Roman"/>
          <w:sz w:val="24"/>
          <w:szCs w:val="24"/>
        </w:rPr>
      </w:pPr>
      <w:r w:rsidRPr="00220885">
        <w:rPr>
          <w:rFonts w:ascii="Bookman Old Style" w:hAnsi="Bookman Old Style" w:cs="Times New Roman"/>
          <w:sz w:val="24"/>
          <w:szCs w:val="24"/>
        </w:rPr>
        <w:t>Operationalize the National Quality Control Policy</w:t>
      </w:r>
    </w:p>
    <w:p w14:paraId="64F9EBBB" w14:textId="77777777" w:rsidR="00493D7A" w:rsidRPr="00220885" w:rsidRDefault="00493D7A" w:rsidP="00493D7A">
      <w:pPr>
        <w:pStyle w:val="ListParagraph"/>
        <w:jc w:val="both"/>
        <w:rPr>
          <w:rFonts w:ascii="Bookman Old Style" w:hAnsi="Bookman Old Style" w:cs="Times New Roman"/>
          <w:sz w:val="24"/>
          <w:szCs w:val="24"/>
        </w:rPr>
      </w:pPr>
    </w:p>
    <w:p w14:paraId="62D5425E" w14:textId="77777777" w:rsidR="00493D7A" w:rsidRPr="00220885" w:rsidRDefault="00493D7A" w:rsidP="00493D7A">
      <w:pPr>
        <w:jc w:val="both"/>
        <w:rPr>
          <w:rFonts w:ascii="Bookman Old Style" w:hAnsi="Bookman Old Style" w:cs="Times New Roman"/>
          <w:sz w:val="24"/>
          <w:szCs w:val="24"/>
        </w:rPr>
      </w:pPr>
      <w:r w:rsidRPr="00220885">
        <w:rPr>
          <w:rFonts w:ascii="Bookman Old Style" w:hAnsi="Bookman Old Style" w:cs="Times New Roman"/>
          <w:sz w:val="24"/>
          <w:szCs w:val="24"/>
        </w:rPr>
        <w:t>We would not need to add more crops beyond those in our short and medium term to list of crops that would earn foreign exchange for Nigeria; rather, emphasis should be on restructuring and repositioning the Nigeria Agriculture Research Services to enable the various commodities research institutes in Nigeria support the agribusiness sector with the right set of knowledge, skills and research findings that would enable the sector continue to remain relevant in the non-oil export international market.</w:t>
      </w:r>
    </w:p>
    <w:p w14:paraId="2A5FFD65" w14:textId="77777777" w:rsidR="00493D7A" w:rsidRPr="00220885" w:rsidRDefault="00493D7A" w:rsidP="00493D7A">
      <w:pPr>
        <w:jc w:val="both"/>
        <w:rPr>
          <w:rFonts w:ascii="Bookman Old Style" w:hAnsi="Bookman Old Style" w:cs="Times New Roman"/>
          <w:sz w:val="24"/>
          <w:szCs w:val="24"/>
        </w:rPr>
      </w:pPr>
      <w:r w:rsidRPr="00220885">
        <w:rPr>
          <w:rFonts w:ascii="Bookman Old Style" w:hAnsi="Bookman Old Style" w:cs="Times New Roman"/>
          <w:sz w:val="24"/>
          <w:szCs w:val="24"/>
        </w:rPr>
        <w:lastRenderedPageBreak/>
        <w:t xml:space="preserve">Operationalizing the Nigeria Agriculture Resilience Framework will help our agribusiness sector understand the risk, challenges and opportunities climate change presents for our non-oil export market. The Federal Ministry of Agriculture and Rural Development should as a matter of urgency operationalize the Agriculture resilience framework to ensure entities producing our non-oil export goods clearly understand the challenges and opportunities climate change presents for their enterprises. </w:t>
      </w:r>
    </w:p>
    <w:p w14:paraId="4A8ECD1F" w14:textId="283B554F" w:rsidR="0044041A" w:rsidRDefault="00493D7A" w:rsidP="00953A07">
      <w:pPr>
        <w:jc w:val="both"/>
        <w:rPr>
          <w:rFonts w:ascii="Bookman Old Style" w:hAnsi="Bookman Old Style" w:cs="Times New Roman"/>
          <w:sz w:val="24"/>
          <w:szCs w:val="24"/>
        </w:rPr>
      </w:pPr>
      <w:r w:rsidRPr="00220885">
        <w:rPr>
          <w:rFonts w:ascii="Bookman Old Style" w:hAnsi="Bookman Old Style" w:cs="Times New Roman"/>
          <w:sz w:val="24"/>
          <w:szCs w:val="24"/>
        </w:rPr>
        <w:t>The National quality control policy of the Federal Ministry of Agriculture and Rural Development should also as a matter of urgency be launched and its contents made public and extension officials of the ministry take steps  to enable our non-oil export producers understand the market demands on their products in the key areas of product standards and packaging. The absence of the quality control policy constitutes a great challenge to our non-oil export earning potentials, continuing decline in the standards/quality of our non-oil export goods would translate to continuing decline in our foreign exchange earnings and must be addressed in the medium to long term.</w:t>
      </w:r>
    </w:p>
    <w:p w14:paraId="074490DE" w14:textId="77777777" w:rsidR="00953A07" w:rsidRPr="00953A07" w:rsidRDefault="00953A07" w:rsidP="00953A07">
      <w:pPr>
        <w:jc w:val="both"/>
        <w:rPr>
          <w:rFonts w:ascii="Bookman Old Style" w:hAnsi="Bookman Old Style" w:cs="Times New Roman"/>
          <w:sz w:val="24"/>
          <w:szCs w:val="24"/>
        </w:rPr>
      </w:pPr>
    </w:p>
    <w:p w14:paraId="4254068E" w14:textId="77777777" w:rsidR="00185FC4" w:rsidRDefault="00185FC4" w:rsidP="00AF6713">
      <w:pPr>
        <w:pStyle w:val="Body"/>
        <w:spacing w:after="0"/>
        <w:rPr>
          <w:rFonts w:ascii="Bookman Old Style" w:hAnsi="Bookman Old Style"/>
          <w:b/>
          <w:bCs/>
          <w:sz w:val="24"/>
          <w:szCs w:val="24"/>
        </w:rPr>
      </w:pPr>
    </w:p>
    <w:p w14:paraId="208D3FA6" w14:textId="77777777" w:rsidR="00185FC4" w:rsidRDefault="00185FC4" w:rsidP="00AF6713">
      <w:pPr>
        <w:pStyle w:val="Body"/>
        <w:spacing w:after="0"/>
        <w:rPr>
          <w:rFonts w:ascii="Bookman Old Style" w:hAnsi="Bookman Old Style"/>
          <w:b/>
          <w:bCs/>
          <w:sz w:val="24"/>
          <w:szCs w:val="24"/>
        </w:rPr>
      </w:pPr>
    </w:p>
    <w:p w14:paraId="26722723" w14:textId="77777777" w:rsidR="00185FC4" w:rsidRDefault="00185FC4" w:rsidP="00AF6713">
      <w:pPr>
        <w:pStyle w:val="Body"/>
        <w:spacing w:after="0"/>
        <w:rPr>
          <w:rFonts w:ascii="Bookman Old Style" w:hAnsi="Bookman Old Style"/>
          <w:b/>
          <w:bCs/>
          <w:sz w:val="24"/>
          <w:szCs w:val="24"/>
        </w:rPr>
      </w:pPr>
    </w:p>
    <w:p w14:paraId="1AF58E99" w14:textId="77777777" w:rsidR="00185FC4" w:rsidRDefault="00185FC4" w:rsidP="00AF6713">
      <w:pPr>
        <w:pStyle w:val="Body"/>
        <w:spacing w:after="0"/>
        <w:rPr>
          <w:rFonts w:ascii="Bookman Old Style" w:hAnsi="Bookman Old Style"/>
          <w:b/>
          <w:bCs/>
          <w:sz w:val="24"/>
          <w:szCs w:val="24"/>
        </w:rPr>
      </w:pPr>
    </w:p>
    <w:p w14:paraId="7F680354" w14:textId="77777777" w:rsidR="00185FC4" w:rsidRDefault="00185FC4" w:rsidP="00AF6713">
      <w:pPr>
        <w:pStyle w:val="Body"/>
        <w:spacing w:after="0"/>
        <w:rPr>
          <w:rFonts w:ascii="Bookman Old Style" w:hAnsi="Bookman Old Style"/>
          <w:b/>
          <w:bCs/>
          <w:sz w:val="24"/>
          <w:szCs w:val="24"/>
        </w:rPr>
      </w:pPr>
    </w:p>
    <w:p w14:paraId="5A7978A2" w14:textId="77777777" w:rsidR="00185FC4" w:rsidRDefault="00185FC4" w:rsidP="00AF6713">
      <w:pPr>
        <w:pStyle w:val="Body"/>
        <w:spacing w:after="0"/>
        <w:rPr>
          <w:rFonts w:ascii="Bookman Old Style" w:hAnsi="Bookman Old Style"/>
          <w:b/>
          <w:bCs/>
          <w:sz w:val="24"/>
          <w:szCs w:val="24"/>
        </w:rPr>
      </w:pPr>
    </w:p>
    <w:p w14:paraId="14F1F3F7" w14:textId="77777777" w:rsidR="00185FC4" w:rsidRDefault="00185FC4" w:rsidP="00AF6713">
      <w:pPr>
        <w:pStyle w:val="Body"/>
        <w:spacing w:after="0"/>
        <w:rPr>
          <w:rFonts w:ascii="Bookman Old Style" w:hAnsi="Bookman Old Style"/>
          <w:b/>
          <w:bCs/>
          <w:sz w:val="24"/>
          <w:szCs w:val="24"/>
        </w:rPr>
      </w:pPr>
    </w:p>
    <w:p w14:paraId="12FFCA7C" w14:textId="77777777" w:rsidR="00185FC4" w:rsidRDefault="00185FC4" w:rsidP="00AF6713">
      <w:pPr>
        <w:pStyle w:val="Body"/>
        <w:spacing w:after="0"/>
        <w:rPr>
          <w:rFonts w:ascii="Bookman Old Style" w:hAnsi="Bookman Old Style"/>
          <w:b/>
          <w:bCs/>
          <w:sz w:val="24"/>
          <w:szCs w:val="24"/>
        </w:rPr>
      </w:pPr>
    </w:p>
    <w:p w14:paraId="7E82D358" w14:textId="77777777" w:rsidR="00185FC4" w:rsidRDefault="00185FC4" w:rsidP="00AF6713">
      <w:pPr>
        <w:pStyle w:val="Body"/>
        <w:spacing w:after="0"/>
        <w:rPr>
          <w:rFonts w:ascii="Bookman Old Style" w:hAnsi="Bookman Old Style"/>
          <w:b/>
          <w:bCs/>
          <w:sz w:val="24"/>
          <w:szCs w:val="24"/>
        </w:rPr>
      </w:pPr>
    </w:p>
    <w:p w14:paraId="389B1A66" w14:textId="77777777" w:rsidR="00185FC4" w:rsidRDefault="00185FC4" w:rsidP="00AF6713">
      <w:pPr>
        <w:pStyle w:val="Body"/>
        <w:spacing w:after="0"/>
        <w:rPr>
          <w:rFonts w:ascii="Bookman Old Style" w:hAnsi="Bookman Old Style"/>
          <w:b/>
          <w:bCs/>
          <w:sz w:val="24"/>
          <w:szCs w:val="24"/>
        </w:rPr>
      </w:pPr>
    </w:p>
    <w:p w14:paraId="3288119E" w14:textId="77777777" w:rsidR="00185FC4" w:rsidRDefault="00185FC4" w:rsidP="00AF6713">
      <w:pPr>
        <w:pStyle w:val="Body"/>
        <w:spacing w:after="0"/>
        <w:rPr>
          <w:rFonts w:ascii="Bookman Old Style" w:hAnsi="Bookman Old Style"/>
          <w:b/>
          <w:bCs/>
          <w:sz w:val="24"/>
          <w:szCs w:val="24"/>
        </w:rPr>
      </w:pPr>
    </w:p>
    <w:p w14:paraId="4E5EEAE7" w14:textId="77777777" w:rsidR="00185FC4" w:rsidRDefault="00185FC4" w:rsidP="00AF6713">
      <w:pPr>
        <w:pStyle w:val="Body"/>
        <w:spacing w:after="0"/>
        <w:rPr>
          <w:rFonts w:ascii="Bookman Old Style" w:hAnsi="Bookman Old Style"/>
          <w:b/>
          <w:bCs/>
          <w:sz w:val="24"/>
          <w:szCs w:val="24"/>
        </w:rPr>
      </w:pPr>
    </w:p>
    <w:p w14:paraId="54A93E42" w14:textId="77777777" w:rsidR="00185FC4" w:rsidRDefault="00185FC4" w:rsidP="00AF6713">
      <w:pPr>
        <w:pStyle w:val="Body"/>
        <w:spacing w:after="0"/>
        <w:rPr>
          <w:rFonts w:ascii="Bookman Old Style" w:hAnsi="Bookman Old Style"/>
          <w:b/>
          <w:bCs/>
          <w:sz w:val="24"/>
          <w:szCs w:val="24"/>
        </w:rPr>
      </w:pPr>
    </w:p>
    <w:p w14:paraId="46D676E2" w14:textId="77777777" w:rsidR="00185FC4" w:rsidRDefault="00185FC4" w:rsidP="00AF6713">
      <w:pPr>
        <w:pStyle w:val="Body"/>
        <w:spacing w:after="0"/>
        <w:rPr>
          <w:rFonts w:ascii="Bookman Old Style" w:hAnsi="Bookman Old Style"/>
          <w:b/>
          <w:bCs/>
          <w:sz w:val="24"/>
          <w:szCs w:val="24"/>
        </w:rPr>
      </w:pPr>
    </w:p>
    <w:p w14:paraId="7D119A88" w14:textId="77777777" w:rsidR="00185FC4" w:rsidRDefault="00185FC4" w:rsidP="00AF6713">
      <w:pPr>
        <w:pStyle w:val="Body"/>
        <w:spacing w:after="0"/>
        <w:rPr>
          <w:rFonts w:ascii="Bookman Old Style" w:hAnsi="Bookman Old Style"/>
          <w:b/>
          <w:bCs/>
          <w:sz w:val="24"/>
          <w:szCs w:val="24"/>
        </w:rPr>
      </w:pPr>
    </w:p>
    <w:p w14:paraId="5F3B9787" w14:textId="77777777" w:rsidR="00185FC4" w:rsidRDefault="00185FC4" w:rsidP="00AF6713">
      <w:pPr>
        <w:pStyle w:val="Body"/>
        <w:spacing w:after="0"/>
        <w:rPr>
          <w:rFonts w:ascii="Bookman Old Style" w:hAnsi="Bookman Old Style"/>
          <w:b/>
          <w:bCs/>
          <w:sz w:val="24"/>
          <w:szCs w:val="24"/>
        </w:rPr>
      </w:pPr>
    </w:p>
    <w:p w14:paraId="2C6577C3" w14:textId="77777777" w:rsidR="00185FC4" w:rsidRDefault="00185FC4" w:rsidP="00AF6713">
      <w:pPr>
        <w:pStyle w:val="Body"/>
        <w:spacing w:after="0"/>
        <w:rPr>
          <w:rFonts w:ascii="Bookman Old Style" w:hAnsi="Bookman Old Style"/>
          <w:b/>
          <w:bCs/>
          <w:sz w:val="24"/>
          <w:szCs w:val="24"/>
        </w:rPr>
      </w:pPr>
    </w:p>
    <w:p w14:paraId="635EB95D" w14:textId="77777777" w:rsidR="00185FC4" w:rsidRDefault="00185FC4" w:rsidP="00AF6713">
      <w:pPr>
        <w:pStyle w:val="Body"/>
        <w:spacing w:after="0"/>
        <w:rPr>
          <w:rFonts w:ascii="Bookman Old Style" w:hAnsi="Bookman Old Style"/>
          <w:b/>
          <w:bCs/>
          <w:sz w:val="24"/>
          <w:szCs w:val="24"/>
        </w:rPr>
      </w:pPr>
    </w:p>
    <w:p w14:paraId="08CA2910" w14:textId="77777777" w:rsidR="00185FC4" w:rsidRDefault="00185FC4" w:rsidP="00AF6713">
      <w:pPr>
        <w:pStyle w:val="Body"/>
        <w:spacing w:after="0"/>
        <w:rPr>
          <w:rFonts w:ascii="Bookman Old Style" w:hAnsi="Bookman Old Style"/>
          <w:b/>
          <w:bCs/>
          <w:sz w:val="24"/>
          <w:szCs w:val="24"/>
        </w:rPr>
      </w:pPr>
    </w:p>
    <w:p w14:paraId="1FB4D7D3" w14:textId="77777777" w:rsidR="00185FC4" w:rsidRDefault="00185FC4" w:rsidP="00AF6713">
      <w:pPr>
        <w:pStyle w:val="Body"/>
        <w:spacing w:after="0"/>
        <w:rPr>
          <w:rFonts w:ascii="Bookman Old Style" w:hAnsi="Bookman Old Style"/>
          <w:b/>
          <w:bCs/>
          <w:sz w:val="24"/>
          <w:szCs w:val="24"/>
        </w:rPr>
      </w:pPr>
    </w:p>
    <w:p w14:paraId="7EBADDC1" w14:textId="77777777" w:rsidR="00185FC4" w:rsidRDefault="00185FC4" w:rsidP="00AF6713">
      <w:pPr>
        <w:pStyle w:val="Body"/>
        <w:spacing w:after="0"/>
        <w:rPr>
          <w:rFonts w:ascii="Bookman Old Style" w:hAnsi="Bookman Old Style"/>
          <w:b/>
          <w:bCs/>
          <w:sz w:val="24"/>
          <w:szCs w:val="24"/>
        </w:rPr>
      </w:pPr>
    </w:p>
    <w:p w14:paraId="6CECED4C" w14:textId="77777777" w:rsidR="00185FC4" w:rsidRDefault="00185FC4" w:rsidP="00AF6713">
      <w:pPr>
        <w:pStyle w:val="Body"/>
        <w:spacing w:after="0"/>
        <w:rPr>
          <w:rFonts w:ascii="Bookman Old Style" w:hAnsi="Bookman Old Style"/>
          <w:b/>
          <w:bCs/>
          <w:sz w:val="24"/>
          <w:szCs w:val="24"/>
        </w:rPr>
      </w:pPr>
    </w:p>
    <w:p w14:paraId="1C329D0A" w14:textId="77777777" w:rsidR="00185FC4" w:rsidRDefault="00185FC4" w:rsidP="00AF6713">
      <w:pPr>
        <w:pStyle w:val="Body"/>
        <w:spacing w:after="0"/>
        <w:rPr>
          <w:rFonts w:ascii="Bookman Old Style" w:hAnsi="Bookman Old Style"/>
          <w:b/>
          <w:bCs/>
          <w:sz w:val="24"/>
          <w:szCs w:val="24"/>
        </w:rPr>
      </w:pPr>
    </w:p>
    <w:p w14:paraId="2416CD96" w14:textId="77777777" w:rsidR="00185FC4" w:rsidRDefault="00185FC4" w:rsidP="00AF6713">
      <w:pPr>
        <w:pStyle w:val="Body"/>
        <w:spacing w:after="0"/>
        <w:rPr>
          <w:rFonts w:ascii="Bookman Old Style" w:hAnsi="Bookman Old Style"/>
          <w:b/>
          <w:bCs/>
          <w:sz w:val="24"/>
          <w:szCs w:val="24"/>
        </w:rPr>
      </w:pPr>
    </w:p>
    <w:p w14:paraId="2E22F7B2" w14:textId="77777777" w:rsidR="00185FC4" w:rsidRDefault="00185FC4" w:rsidP="00AF6713">
      <w:pPr>
        <w:pStyle w:val="Body"/>
        <w:spacing w:after="0"/>
        <w:rPr>
          <w:rFonts w:ascii="Bookman Old Style" w:hAnsi="Bookman Old Style"/>
          <w:b/>
          <w:bCs/>
          <w:sz w:val="24"/>
          <w:szCs w:val="24"/>
        </w:rPr>
      </w:pPr>
    </w:p>
    <w:p w14:paraId="6F568150" w14:textId="77777777" w:rsidR="00185FC4" w:rsidRDefault="00185FC4" w:rsidP="00AF6713">
      <w:pPr>
        <w:pStyle w:val="Body"/>
        <w:spacing w:after="0"/>
        <w:rPr>
          <w:rFonts w:ascii="Bookman Old Style" w:hAnsi="Bookman Old Style"/>
          <w:b/>
          <w:bCs/>
          <w:sz w:val="24"/>
          <w:szCs w:val="24"/>
        </w:rPr>
      </w:pPr>
    </w:p>
    <w:p w14:paraId="5075E145" w14:textId="77777777" w:rsidR="00185FC4" w:rsidRDefault="00185FC4" w:rsidP="00AF6713">
      <w:pPr>
        <w:pStyle w:val="Body"/>
        <w:spacing w:after="0"/>
        <w:rPr>
          <w:rFonts w:ascii="Bookman Old Style" w:hAnsi="Bookman Old Style"/>
          <w:b/>
          <w:bCs/>
          <w:sz w:val="24"/>
          <w:szCs w:val="24"/>
        </w:rPr>
      </w:pPr>
    </w:p>
    <w:p w14:paraId="16167265" w14:textId="77777777" w:rsidR="00185FC4" w:rsidRDefault="00185FC4" w:rsidP="00AF6713">
      <w:pPr>
        <w:pStyle w:val="Body"/>
        <w:spacing w:after="0"/>
        <w:rPr>
          <w:rFonts w:ascii="Bookman Old Style" w:hAnsi="Bookman Old Style"/>
          <w:b/>
          <w:bCs/>
          <w:sz w:val="24"/>
          <w:szCs w:val="24"/>
        </w:rPr>
      </w:pPr>
    </w:p>
    <w:p w14:paraId="3D2F4E76" w14:textId="77777777" w:rsidR="00185FC4" w:rsidRDefault="00185FC4" w:rsidP="00AF6713">
      <w:pPr>
        <w:pStyle w:val="Body"/>
        <w:spacing w:after="0"/>
        <w:rPr>
          <w:rFonts w:ascii="Bookman Old Style" w:hAnsi="Bookman Old Style"/>
          <w:b/>
          <w:bCs/>
          <w:sz w:val="24"/>
          <w:szCs w:val="24"/>
        </w:rPr>
      </w:pPr>
    </w:p>
    <w:p w14:paraId="666D75BC" w14:textId="77777777" w:rsidR="00185FC4" w:rsidRDefault="00185FC4" w:rsidP="00AF6713">
      <w:pPr>
        <w:pStyle w:val="Body"/>
        <w:spacing w:after="0"/>
        <w:rPr>
          <w:rFonts w:ascii="Bookman Old Style" w:hAnsi="Bookman Old Style"/>
          <w:b/>
          <w:bCs/>
          <w:sz w:val="24"/>
          <w:szCs w:val="24"/>
        </w:rPr>
      </w:pPr>
    </w:p>
    <w:p w14:paraId="0DFE6E24" w14:textId="77777777" w:rsidR="00185FC4" w:rsidRDefault="00185FC4" w:rsidP="00AF6713">
      <w:pPr>
        <w:pStyle w:val="Body"/>
        <w:spacing w:after="0"/>
        <w:rPr>
          <w:rFonts w:ascii="Bookman Old Style" w:hAnsi="Bookman Old Style"/>
          <w:b/>
          <w:bCs/>
          <w:sz w:val="24"/>
          <w:szCs w:val="24"/>
        </w:rPr>
      </w:pPr>
    </w:p>
    <w:p w14:paraId="1F8B81EE" w14:textId="77777777" w:rsidR="00185FC4" w:rsidRDefault="00185FC4" w:rsidP="00AF6713">
      <w:pPr>
        <w:pStyle w:val="Body"/>
        <w:spacing w:after="0"/>
        <w:rPr>
          <w:rFonts w:ascii="Bookman Old Style" w:hAnsi="Bookman Old Style"/>
          <w:b/>
          <w:bCs/>
          <w:sz w:val="24"/>
          <w:szCs w:val="24"/>
        </w:rPr>
      </w:pPr>
    </w:p>
    <w:p w14:paraId="3D5A236F" w14:textId="77777777" w:rsidR="00185FC4" w:rsidRDefault="00185FC4" w:rsidP="00AF6713">
      <w:pPr>
        <w:pStyle w:val="Body"/>
        <w:spacing w:after="0"/>
        <w:rPr>
          <w:rFonts w:ascii="Bookman Old Style" w:hAnsi="Bookman Old Style"/>
          <w:b/>
          <w:bCs/>
          <w:sz w:val="24"/>
          <w:szCs w:val="24"/>
        </w:rPr>
      </w:pPr>
    </w:p>
    <w:p w14:paraId="635FF33B" w14:textId="3A25206F" w:rsidR="00493D7A" w:rsidRDefault="00AF6713" w:rsidP="00AF6713">
      <w:pPr>
        <w:pStyle w:val="Body"/>
        <w:spacing w:after="0"/>
        <w:rPr>
          <w:rFonts w:ascii="Bookman Old Style" w:hAnsi="Bookman Old Style"/>
          <w:b/>
          <w:bCs/>
          <w:sz w:val="24"/>
          <w:szCs w:val="24"/>
        </w:rPr>
      </w:pPr>
      <w:r>
        <w:rPr>
          <w:rFonts w:ascii="Bookman Old Style" w:hAnsi="Bookman Old Style"/>
          <w:b/>
          <w:bCs/>
          <w:sz w:val="24"/>
          <w:szCs w:val="24"/>
        </w:rPr>
        <w:t xml:space="preserve">SECTION 4: </w:t>
      </w:r>
      <w:r w:rsidR="0044041A" w:rsidRPr="00501223">
        <w:rPr>
          <w:rFonts w:ascii="Bookman Old Style" w:hAnsi="Bookman Old Style"/>
          <w:b/>
          <w:bCs/>
          <w:sz w:val="24"/>
          <w:szCs w:val="24"/>
        </w:rPr>
        <w:t>TARGETED POLICY AND INSTITUTIONAL REFORMS</w:t>
      </w:r>
    </w:p>
    <w:p w14:paraId="7302F785" w14:textId="77777777" w:rsidR="00493D7A" w:rsidRPr="005D3C8D" w:rsidRDefault="00493D7A" w:rsidP="00493D7A">
      <w:pPr>
        <w:pStyle w:val="Body"/>
        <w:spacing w:after="0"/>
        <w:jc w:val="center"/>
        <w:rPr>
          <w:rFonts w:ascii="Bookman Old Style" w:hAnsi="Bookman Old Style"/>
          <w:b/>
          <w:bCs/>
          <w:sz w:val="24"/>
          <w:szCs w:val="24"/>
        </w:rPr>
      </w:pPr>
    </w:p>
    <w:p w14:paraId="53DEA865" w14:textId="77777777" w:rsidR="00493D7A" w:rsidRPr="00AA443C" w:rsidRDefault="00493D7A" w:rsidP="00AA443C">
      <w:pPr>
        <w:pStyle w:val="Body"/>
        <w:spacing w:after="0" w:line="240" w:lineRule="auto"/>
        <w:jc w:val="both"/>
        <w:rPr>
          <w:rFonts w:ascii="Bookman Old Style" w:eastAsia="Century Gothic" w:hAnsi="Bookman Old Style" w:cs="Century Gothic"/>
          <w:sz w:val="24"/>
          <w:szCs w:val="24"/>
        </w:rPr>
      </w:pPr>
      <w:r w:rsidRPr="00AA443C">
        <w:rPr>
          <w:rFonts w:ascii="Bookman Old Style" w:hAnsi="Bookman Old Style"/>
          <w:sz w:val="24"/>
          <w:szCs w:val="24"/>
          <w:lang w:val="en-US"/>
        </w:rPr>
        <w:t>Review and enhancement: Incentives (EEG)</w:t>
      </w:r>
    </w:p>
    <w:p w14:paraId="1FEF06EE" w14:textId="77777777" w:rsidR="00493D7A" w:rsidRPr="00AA443C" w:rsidRDefault="00493D7A" w:rsidP="00AA443C">
      <w:pPr>
        <w:pStyle w:val="Body"/>
        <w:jc w:val="both"/>
        <w:rPr>
          <w:rFonts w:ascii="Bookman Old Style" w:eastAsia="Century Gothic" w:hAnsi="Bookman Old Style" w:cs="Century Gothic"/>
          <w:sz w:val="24"/>
          <w:szCs w:val="24"/>
        </w:rPr>
      </w:pPr>
      <w:r w:rsidRPr="00AA443C">
        <w:rPr>
          <w:rFonts w:ascii="Bookman Old Style" w:hAnsi="Bookman Old Style"/>
          <w:sz w:val="24"/>
          <w:szCs w:val="24"/>
          <w:lang w:val="en-US"/>
        </w:rPr>
        <w:t>Simplifying and making EEG practicable in the current administration agenda</w:t>
      </w:r>
    </w:p>
    <w:p w14:paraId="17A0DE39" w14:textId="77777777" w:rsidR="00AA443C" w:rsidRDefault="00AA443C" w:rsidP="00493D7A">
      <w:pPr>
        <w:pStyle w:val="Body"/>
        <w:rPr>
          <w:rFonts w:ascii="Bookman Old Style" w:hAnsi="Bookman Old Style"/>
          <w:b/>
          <w:bCs/>
          <w:lang w:val="fr-FR"/>
        </w:rPr>
      </w:pPr>
    </w:p>
    <w:p w14:paraId="2FE9A2F1" w14:textId="52EE362A" w:rsidR="00493D7A" w:rsidRPr="00501223" w:rsidRDefault="000A7E3C" w:rsidP="00AA443C">
      <w:pPr>
        <w:pStyle w:val="Body"/>
        <w:spacing w:after="0"/>
        <w:rPr>
          <w:rFonts w:ascii="Bookman Old Style" w:eastAsia="Century Gothic" w:hAnsi="Bookman Old Style" w:cs="Century Gothic"/>
          <w:b/>
          <w:bCs/>
        </w:rPr>
      </w:pPr>
      <w:r>
        <w:rPr>
          <w:rFonts w:ascii="Bookman Old Style" w:hAnsi="Bookman Old Style"/>
          <w:b/>
          <w:bCs/>
          <w:lang w:val="fr-FR"/>
        </w:rPr>
        <w:t xml:space="preserve">4.0 </w:t>
      </w:r>
      <w:r w:rsidR="00493D7A" w:rsidRPr="00501223">
        <w:rPr>
          <w:rFonts w:ascii="Bookman Old Style" w:hAnsi="Bookman Old Style"/>
          <w:b/>
          <w:bCs/>
          <w:lang w:val="fr-FR"/>
        </w:rPr>
        <w:t>Introduction</w:t>
      </w:r>
    </w:p>
    <w:p w14:paraId="311CC028" w14:textId="77777777" w:rsidR="00493D7A" w:rsidRPr="00501223" w:rsidRDefault="00493D7A" w:rsidP="00493D7A">
      <w:pPr>
        <w:pStyle w:val="NoSpacing"/>
        <w:suppressAutoHyphens/>
        <w:spacing w:line="276" w:lineRule="auto"/>
        <w:jc w:val="both"/>
        <w:rPr>
          <w:rFonts w:ascii="Bookman Old Style" w:eastAsia="Arial" w:hAnsi="Bookman Old Style" w:cs="Arial"/>
          <w:sz w:val="24"/>
          <w:szCs w:val="24"/>
        </w:rPr>
      </w:pPr>
      <w:r w:rsidRPr="00501223">
        <w:rPr>
          <w:rFonts w:ascii="Bookman Old Style" w:hAnsi="Bookman Old Style"/>
          <w:sz w:val="24"/>
          <w:szCs w:val="24"/>
        </w:rPr>
        <w:t xml:space="preserve">It is obviously in realization of the strategic imperative of creating an alternative economic pillar, outside oil, that Nigerian Governments, over the years, have continued to rigorously pursue economic diversification policies and a virile promotion of non-oil exports. In order to make achieve this goal, various incentives and policy instruments had been introduced over the years.  One of such support instruments put in place by Government is the Export Expansion Grant Scheme (EEG).  A lot of reasons have been adduced, and remain valid, to justify the continued administration of the scheme, especially as it is the only functional incentive remaining in support of the competitiveness of Nigeria’s export products in the fiercely competitive international market place. </w:t>
      </w:r>
    </w:p>
    <w:p w14:paraId="370498BF" w14:textId="77777777" w:rsidR="00493D7A" w:rsidRPr="000A7E3C" w:rsidRDefault="000A7E3C" w:rsidP="00AA443C">
      <w:pPr>
        <w:pStyle w:val="Heading"/>
        <w:keepLines/>
        <w:spacing w:after="0"/>
        <w:jc w:val="both"/>
        <w:outlineLvl w:val="2"/>
        <w:rPr>
          <w:rFonts w:ascii="Bookman Old Style" w:hAnsi="Bookman Old Style"/>
          <w:color w:val="000000" w:themeColor="text1"/>
          <w:sz w:val="24"/>
          <w:szCs w:val="24"/>
        </w:rPr>
      </w:pPr>
      <w:r w:rsidRPr="000A7E3C">
        <w:rPr>
          <w:rFonts w:ascii="Bookman Old Style" w:hAnsi="Bookman Old Style"/>
          <w:color w:val="000000" w:themeColor="text1"/>
          <w:sz w:val="24"/>
          <w:szCs w:val="24"/>
        </w:rPr>
        <w:t xml:space="preserve">4.1 </w:t>
      </w:r>
      <w:r w:rsidR="00493D7A" w:rsidRPr="000A7E3C">
        <w:rPr>
          <w:rFonts w:ascii="Bookman Old Style" w:hAnsi="Bookman Old Style"/>
          <w:color w:val="000000" w:themeColor="text1"/>
          <w:sz w:val="24"/>
          <w:szCs w:val="24"/>
        </w:rPr>
        <w:t>Building Non-Oil Exports: The Need for Export Incentives</w:t>
      </w:r>
    </w:p>
    <w:p w14:paraId="4664A589" w14:textId="77777777" w:rsidR="00493D7A" w:rsidRPr="00501223" w:rsidRDefault="00493D7A" w:rsidP="00493D7A">
      <w:pPr>
        <w:pStyle w:val="NoSpacing"/>
        <w:suppressAutoHyphens/>
        <w:jc w:val="both"/>
        <w:rPr>
          <w:rFonts w:ascii="Bookman Old Style" w:eastAsia="Arial" w:hAnsi="Bookman Old Style" w:cs="Arial"/>
          <w:sz w:val="24"/>
          <w:szCs w:val="24"/>
        </w:rPr>
      </w:pPr>
      <w:r w:rsidRPr="00501223">
        <w:rPr>
          <w:rFonts w:ascii="Bookman Old Style" w:hAnsi="Bookman Old Style"/>
          <w:sz w:val="24"/>
          <w:szCs w:val="24"/>
        </w:rPr>
        <w:t xml:space="preserve">Nigeria has never disguised her desire to promote exports. It is noteworthy that Nigerian Export Promotion Council (NEPC), as the “arrowhead” of Government's drive in this area, was set up as far back as 1976. NEPC has sought to make the non-oil export a significant contributor to Nigeria's GDP by facilitating exports to promote sustainable economic development. From the rebased Gross Domestic Product (GDP) figures, the oil sector contributes only about 15.9% to the entire GDP, leaving the remaining 74.1% to be shared among the non-oil sector); i.e. agriculture, services, manufacturing, telecoms, etc. This is a gradual reversal of the initial trend in the GDP proportions between the oil and non-oil sectors. However, Nigeria’s non-oil exports have made limited impact due to the several disadvantages faced by Nigerian non-oil exporters. These disadvantages include: </w:t>
      </w:r>
    </w:p>
    <w:p w14:paraId="1E2F63EB" w14:textId="77777777" w:rsidR="00493D7A" w:rsidRPr="00501223" w:rsidRDefault="00493D7A" w:rsidP="00493D7A">
      <w:pPr>
        <w:pStyle w:val="BodyA"/>
        <w:numPr>
          <w:ilvl w:val="0"/>
          <w:numId w:val="12"/>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lastRenderedPageBreak/>
        <w:t>Stiff competition in the international market, especially from countries that tend to give more than ample support incentives to their exporters;</w:t>
      </w:r>
    </w:p>
    <w:p w14:paraId="1B18FE79" w14:textId="77777777" w:rsidR="00493D7A" w:rsidRPr="00501223" w:rsidRDefault="00493D7A" w:rsidP="00493D7A">
      <w:pPr>
        <w:pStyle w:val="BodyA"/>
        <w:numPr>
          <w:ilvl w:val="0"/>
          <w:numId w:val="12"/>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 xml:space="preserve">High cost of power and need to set up own infrastructure; </w:t>
      </w:r>
    </w:p>
    <w:p w14:paraId="28E7221A" w14:textId="77777777" w:rsidR="00493D7A" w:rsidRPr="00501223" w:rsidRDefault="00493D7A" w:rsidP="00493D7A">
      <w:pPr>
        <w:pStyle w:val="BodyA"/>
        <w:numPr>
          <w:ilvl w:val="0"/>
          <w:numId w:val="12"/>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 xml:space="preserve">High finance cost and lack of long term funds; </w:t>
      </w:r>
    </w:p>
    <w:p w14:paraId="4614177C" w14:textId="77777777" w:rsidR="00493D7A" w:rsidRPr="00501223" w:rsidRDefault="00493D7A" w:rsidP="00493D7A">
      <w:pPr>
        <w:pStyle w:val="BodyA"/>
        <w:numPr>
          <w:ilvl w:val="0"/>
          <w:numId w:val="12"/>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 xml:space="preserve">High transportation cost; </w:t>
      </w:r>
    </w:p>
    <w:p w14:paraId="0BD5DA4C" w14:textId="77777777" w:rsidR="00493D7A" w:rsidRPr="00501223" w:rsidRDefault="00493D7A" w:rsidP="00493D7A">
      <w:pPr>
        <w:pStyle w:val="BodyA"/>
        <w:numPr>
          <w:ilvl w:val="0"/>
          <w:numId w:val="12"/>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 xml:space="preserve">High labour cost due to lack of skilled workers and low productivity; </w:t>
      </w:r>
    </w:p>
    <w:p w14:paraId="26245ED1" w14:textId="77777777" w:rsidR="00493D7A" w:rsidRPr="00501223" w:rsidRDefault="00493D7A" w:rsidP="00493D7A">
      <w:pPr>
        <w:pStyle w:val="BodyA"/>
        <w:numPr>
          <w:ilvl w:val="0"/>
          <w:numId w:val="12"/>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 xml:space="preserve">High cost of doing business (Port delays, multiple taxation, etc.) and </w:t>
      </w:r>
    </w:p>
    <w:p w14:paraId="5C563D28" w14:textId="77777777" w:rsidR="00493D7A" w:rsidRPr="00501223" w:rsidRDefault="00493D7A" w:rsidP="00493D7A">
      <w:pPr>
        <w:pStyle w:val="BodyA"/>
        <w:numPr>
          <w:ilvl w:val="0"/>
          <w:numId w:val="12"/>
        </w:numPr>
        <w:suppressAutoHyphens/>
        <w:spacing w:before="60" w:line="276" w:lineRule="auto"/>
        <w:jc w:val="both"/>
        <w:rPr>
          <w:rFonts w:ascii="Bookman Old Style" w:eastAsia="Arial" w:hAnsi="Bookman Old Style" w:cs="Arial"/>
          <w:sz w:val="24"/>
          <w:szCs w:val="24"/>
        </w:rPr>
      </w:pPr>
      <w:r w:rsidRPr="00501223">
        <w:rPr>
          <w:rFonts w:ascii="Bookman Old Style" w:hAnsi="Bookman Old Style"/>
          <w:sz w:val="24"/>
          <w:szCs w:val="24"/>
        </w:rPr>
        <w:t xml:space="preserve">Loss of preferential market access to EU. </w:t>
      </w:r>
    </w:p>
    <w:p w14:paraId="73752170" w14:textId="77777777" w:rsidR="00493D7A" w:rsidRPr="00501223" w:rsidRDefault="00493D7A" w:rsidP="00493D7A">
      <w:pPr>
        <w:pStyle w:val="NoSpacing"/>
        <w:suppressAutoHyphens/>
        <w:spacing w:line="276" w:lineRule="auto"/>
        <w:jc w:val="both"/>
        <w:rPr>
          <w:rFonts w:ascii="Bookman Old Style" w:eastAsia="Arial" w:hAnsi="Bookman Old Style" w:cs="Arial"/>
          <w:sz w:val="24"/>
          <w:szCs w:val="24"/>
        </w:rPr>
      </w:pPr>
      <w:r w:rsidRPr="00501223">
        <w:rPr>
          <w:rFonts w:ascii="Bookman Old Style" w:hAnsi="Bookman Old Style"/>
          <w:sz w:val="24"/>
          <w:szCs w:val="24"/>
        </w:rPr>
        <w:t>When benchmarking a number of Nigerian input cost factors with a panel of countries, with which Nigeria competes, it becomes evident, that Nigeria has very high costs for the most important inputs. For example as illustrated in the table below, Nigeria has one of the highest financial and power/energy costs among her competitors.</w:t>
      </w:r>
    </w:p>
    <w:p w14:paraId="6F90B3D4" w14:textId="77777777" w:rsidR="00493D7A" w:rsidRPr="00501223" w:rsidRDefault="00493D7A" w:rsidP="00493D7A">
      <w:pPr>
        <w:pStyle w:val="NoSpacing"/>
        <w:suppressAutoHyphens/>
        <w:jc w:val="both"/>
        <w:rPr>
          <w:rFonts w:ascii="Bookman Old Style" w:hAnsi="Bookman Old Style"/>
          <w:b/>
          <w:bCs/>
          <w:sz w:val="8"/>
          <w:szCs w:val="8"/>
        </w:rPr>
      </w:pPr>
    </w:p>
    <w:p w14:paraId="1D4FCCD2" w14:textId="263D8EA8" w:rsidR="00493D7A" w:rsidRPr="00501223" w:rsidRDefault="00AA443C" w:rsidP="00493D7A">
      <w:pPr>
        <w:pStyle w:val="NoSpacing"/>
        <w:suppressAutoHyphens/>
        <w:jc w:val="both"/>
        <w:rPr>
          <w:rFonts w:ascii="Bookman Old Style" w:hAnsi="Bookman Old Style"/>
          <w:b/>
          <w:bCs/>
          <w:sz w:val="24"/>
          <w:szCs w:val="24"/>
        </w:rPr>
      </w:pPr>
      <w:r>
        <w:rPr>
          <w:rFonts w:ascii="Bookman Old Style" w:hAnsi="Bookman Old Style"/>
          <w:b/>
          <w:bCs/>
          <w:sz w:val="24"/>
          <w:szCs w:val="24"/>
        </w:rPr>
        <w:t>Table 4.1 Comparison of F</w:t>
      </w:r>
      <w:r w:rsidR="00493D7A" w:rsidRPr="00501223">
        <w:rPr>
          <w:rFonts w:ascii="Bookman Old Style" w:hAnsi="Bookman Old Style"/>
          <w:b/>
          <w:bCs/>
          <w:sz w:val="24"/>
          <w:szCs w:val="24"/>
        </w:rPr>
        <w:t>inancial cost between Nigeria a</w:t>
      </w:r>
      <w:r>
        <w:rPr>
          <w:rFonts w:ascii="Bookman Old Style" w:hAnsi="Bookman Old Style"/>
          <w:b/>
          <w:bCs/>
          <w:sz w:val="24"/>
          <w:szCs w:val="24"/>
        </w:rPr>
        <w:t>nd some of her export</w:t>
      </w:r>
      <w:r w:rsidR="00493D7A" w:rsidRPr="00501223">
        <w:rPr>
          <w:rFonts w:ascii="Bookman Old Style" w:hAnsi="Bookman Old Style"/>
          <w:b/>
          <w:bCs/>
          <w:sz w:val="24"/>
          <w:szCs w:val="24"/>
        </w:rPr>
        <w:t xml:space="preserve"> Competitors</w:t>
      </w:r>
    </w:p>
    <w:p w14:paraId="1971510F" w14:textId="77777777" w:rsidR="00493D7A" w:rsidRPr="00501223" w:rsidRDefault="00493D7A" w:rsidP="00493D7A">
      <w:pPr>
        <w:pStyle w:val="Body"/>
        <w:rPr>
          <w:rFonts w:ascii="Bookman Old Style" w:hAnsi="Bookman Old Style"/>
        </w:rPr>
      </w:pPr>
      <w:r w:rsidRPr="00501223">
        <w:rPr>
          <w:rFonts w:ascii="Bookman Old Style" w:eastAsia="Arial" w:hAnsi="Bookman Old Style" w:cs="Arial"/>
          <w:noProof/>
          <w:lang w:val="en-GB"/>
        </w:rPr>
        <w:drawing>
          <wp:inline distT="0" distB="0" distL="0" distR="0" wp14:anchorId="6A0AAA49" wp14:editId="3633B4AC">
            <wp:extent cx="5727701" cy="2696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0">
                      <a:extLst/>
                    </a:blip>
                    <a:stretch>
                      <a:fillRect/>
                    </a:stretch>
                  </pic:blipFill>
                  <pic:spPr>
                    <a:xfrm>
                      <a:off x="0" y="0"/>
                      <a:ext cx="5727701" cy="2696858"/>
                    </a:xfrm>
                    <a:prstGeom prst="rect">
                      <a:avLst/>
                    </a:prstGeom>
                    <a:ln w="12700" cap="flat">
                      <a:noFill/>
                      <a:miter lim="400000"/>
                    </a:ln>
                    <a:effectLst/>
                  </pic:spPr>
                </pic:pic>
              </a:graphicData>
            </a:graphic>
          </wp:inline>
        </w:drawing>
      </w:r>
    </w:p>
    <w:p w14:paraId="2B3F6BD7" w14:textId="77777777" w:rsidR="00493D7A" w:rsidRPr="00501223" w:rsidRDefault="00493D7A" w:rsidP="00493D7A">
      <w:pPr>
        <w:pStyle w:val="Body"/>
        <w:rPr>
          <w:rFonts w:ascii="Bookman Old Style" w:hAnsi="Bookman Old Style"/>
        </w:rPr>
      </w:pPr>
      <w:r w:rsidRPr="00501223">
        <w:rPr>
          <w:rFonts w:ascii="Bookman Old Style" w:hAnsi="Bookman Old Style"/>
          <w:lang w:val="en-US"/>
        </w:rPr>
        <w:t xml:space="preserve">With current liquidity squeeze occasioned by the implementation of government Treasury Single Account (TSA) Policy and the implementation of the Flexible Foreign Exchange Policy following the devaluation of the Naira, local currency interest rate currently averages at 25%.  </w:t>
      </w:r>
    </w:p>
    <w:p w14:paraId="3B18E435" w14:textId="262D4DDD" w:rsidR="00493D7A" w:rsidRDefault="00493D7A" w:rsidP="00493D7A">
      <w:pPr>
        <w:pStyle w:val="Body"/>
        <w:rPr>
          <w:rFonts w:ascii="Bookman Old Style" w:hAnsi="Bookman Old Style"/>
        </w:rPr>
      </w:pPr>
    </w:p>
    <w:p w14:paraId="3310DCAB" w14:textId="4AE169DF" w:rsidR="00AA0E9F" w:rsidRDefault="00AA0E9F" w:rsidP="00493D7A">
      <w:pPr>
        <w:pStyle w:val="Body"/>
        <w:rPr>
          <w:rFonts w:ascii="Bookman Old Style" w:hAnsi="Bookman Old Style"/>
        </w:rPr>
      </w:pPr>
    </w:p>
    <w:p w14:paraId="44A75E16" w14:textId="63D1562B" w:rsidR="00AA0E9F" w:rsidRDefault="00AA0E9F" w:rsidP="00493D7A">
      <w:pPr>
        <w:pStyle w:val="Body"/>
        <w:rPr>
          <w:rFonts w:ascii="Bookman Old Style" w:hAnsi="Bookman Old Style"/>
        </w:rPr>
      </w:pPr>
    </w:p>
    <w:p w14:paraId="70E3AA33" w14:textId="69056D05" w:rsidR="00AA0E9F" w:rsidRDefault="00AA0E9F" w:rsidP="00493D7A">
      <w:pPr>
        <w:pStyle w:val="Body"/>
        <w:rPr>
          <w:rFonts w:ascii="Bookman Old Style" w:hAnsi="Bookman Old Style"/>
        </w:rPr>
      </w:pPr>
    </w:p>
    <w:p w14:paraId="10345AD2" w14:textId="438CE362" w:rsidR="00AA0E9F" w:rsidRDefault="00AA0E9F" w:rsidP="00493D7A">
      <w:pPr>
        <w:pStyle w:val="Body"/>
        <w:rPr>
          <w:rFonts w:ascii="Bookman Old Style" w:hAnsi="Bookman Old Style"/>
        </w:rPr>
      </w:pPr>
    </w:p>
    <w:p w14:paraId="0EFC102E" w14:textId="77056590" w:rsidR="00AA0E9F" w:rsidRDefault="00AA0E9F" w:rsidP="00493D7A">
      <w:pPr>
        <w:pStyle w:val="Body"/>
        <w:rPr>
          <w:rFonts w:ascii="Bookman Old Style" w:hAnsi="Bookman Old Style"/>
        </w:rPr>
      </w:pPr>
    </w:p>
    <w:p w14:paraId="25162FA3" w14:textId="5F2E5076" w:rsidR="00AA0E9F" w:rsidRDefault="00AA0E9F" w:rsidP="00493D7A">
      <w:pPr>
        <w:pStyle w:val="Body"/>
        <w:rPr>
          <w:rFonts w:ascii="Bookman Old Style" w:hAnsi="Bookman Old Style"/>
        </w:rPr>
      </w:pPr>
    </w:p>
    <w:p w14:paraId="0ED1AD51" w14:textId="1CF2A5DD" w:rsidR="00AA0E9F" w:rsidRDefault="00AA0E9F" w:rsidP="00493D7A">
      <w:pPr>
        <w:pStyle w:val="Body"/>
        <w:rPr>
          <w:rFonts w:ascii="Bookman Old Style" w:hAnsi="Bookman Old Style"/>
        </w:rPr>
      </w:pPr>
    </w:p>
    <w:p w14:paraId="466C60A9" w14:textId="611FB564" w:rsidR="00AA0E9F" w:rsidRDefault="00AA0E9F" w:rsidP="00493D7A">
      <w:pPr>
        <w:pStyle w:val="Body"/>
        <w:rPr>
          <w:rFonts w:ascii="Bookman Old Style" w:hAnsi="Bookman Old Style"/>
        </w:rPr>
      </w:pPr>
    </w:p>
    <w:p w14:paraId="4341E439" w14:textId="4006CBAD" w:rsidR="00AA0E9F" w:rsidRPr="00AA0E9F" w:rsidRDefault="00953A07" w:rsidP="00493D7A">
      <w:pPr>
        <w:pStyle w:val="Body"/>
        <w:rPr>
          <w:rFonts w:ascii="Bookman Old Style" w:hAnsi="Bookman Old Style"/>
          <w:b/>
        </w:rPr>
      </w:pPr>
      <w:r>
        <w:rPr>
          <w:rFonts w:ascii="Bookman Old Style" w:hAnsi="Bookman Old Style"/>
          <w:b/>
        </w:rPr>
        <w:t>Figure 1</w:t>
      </w:r>
      <w:r w:rsidR="00AA0E9F" w:rsidRPr="00AA0E9F">
        <w:rPr>
          <w:rFonts w:ascii="Bookman Old Style" w:hAnsi="Bookman Old Style"/>
          <w:b/>
        </w:rPr>
        <w:t>: Comparison of Financial cost between Nigeria and some of her export Competitors</w:t>
      </w:r>
    </w:p>
    <w:p w14:paraId="44F79B92" w14:textId="77777777" w:rsidR="00493D7A" w:rsidRPr="00501223" w:rsidRDefault="00493D7A" w:rsidP="00493D7A">
      <w:pPr>
        <w:pStyle w:val="Body"/>
        <w:rPr>
          <w:rFonts w:ascii="Bookman Old Style" w:hAnsi="Bookman Old Style"/>
        </w:rPr>
      </w:pPr>
      <w:r w:rsidRPr="00501223">
        <w:rPr>
          <w:rFonts w:ascii="Bookman Old Style" w:eastAsia="Arial" w:hAnsi="Bookman Old Style" w:cs="Arial"/>
          <w:noProof/>
          <w:lang w:val="en-GB"/>
        </w:rPr>
        <w:drawing>
          <wp:inline distT="0" distB="0" distL="0" distR="0" wp14:anchorId="78A6F183" wp14:editId="378C3649">
            <wp:extent cx="5727701" cy="3146334"/>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11">
                      <a:extLst/>
                    </a:blip>
                    <a:stretch>
                      <a:fillRect/>
                    </a:stretch>
                  </pic:blipFill>
                  <pic:spPr>
                    <a:xfrm>
                      <a:off x="0" y="0"/>
                      <a:ext cx="5727701" cy="3146334"/>
                    </a:xfrm>
                    <a:prstGeom prst="rect">
                      <a:avLst/>
                    </a:prstGeom>
                    <a:ln w="12700" cap="flat">
                      <a:noFill/>
                      <a:miter lim="400000"/>
                    </a:ln>
                    <a:effectLst/>
                  </pic:spPr>
                </pic:pic>
              </a:graphicData>
            </a:graphic>
          </wp:inline>
        </w:drawing>
      </w:r>
    </w:p>
    <w:p w14:paraId="5DEF92D9" w14:textId="77777777" w:rsidR="00AA0E9F" w:rsidRDefault="00AA0E9F" w:rsidP="00493D7A">
      <w:pPr>
        <w:pStyle w:val="NoSpacing"/>
        <w:suppressAutoHyphens/>
        <w:jc w:val="both"/>
        <w:rPr>
          <w:rFonts w:ascii="Bookman Old Style" w:hAnsi="Bookman Old Style"/>
          <w:sz w:val="24"/>
          <w:szCs w:val="24"/>
        </w:rPr>
      </w:pPr>
    </w:p>
    <w:p w14:paraId="6A181377" w14:textId="28EE6D9B" w:rsidR="00493D7A" w:rsidRPr="00501223" w:rsidRDefault="00493D7A" w:rsidP="00493D7A">
      <w:pPr>
        <w:pStyle w:val="NoSpacing"/>
        <w:suppressAutoHyphens/>
        <w:jc w:val="both"/>
        <w:rPr>
          <w:rFonts w:ascii="Bookman Old Style" w:eastAsia="Arial" w:hAnsi="Bookman Old Style" w:cs="Arial"/>
          <w:sz w:val="24"/>
          <w:szCs w:val="24"/>
        </w:rPr>
      </w:pPr>
      <w:r w:rsidRPr="00501223">
        <w:rPr>
          <w:rFonts w:ascii="Bookman Old Style" w:hAnsi="Bookman Old Style"/>
          <w:sz w:val="24"/>
          <w:szCs w:val="24"/>
        </w:rPr>
        <w:t xml:space="preserve">In addition to the high financial and power/energy costs, Nigerian exporters face several disadvantages due to lack of an enabling environment reflected in policy implementation bottlenecks. The Doing Business 2015 quantitative indicators on business regulations and property rights which were compared across 189 economies depicted these policy implementation bottlenecks in their ranking of Nigeria on the Ease of Doing Business; when benchmarked against other economies that compete with her in the international export market. </w:t>
      </w:r>
    </w:p>
    <w:p w14:paraId="766352F4" w14:textId="77777777" w:rsidR="00DC225C" w:rsidRDefault="00493D7A" w:rsidP="00DC225C">
      <w:pPr>
        <w:pStyle w:val="NoSpacing"/>
        <w:suppressAutoHyphens/>
        <w:jc w:val="both"/>
        <w:rPr>
          <w:rFonts w:ascii="Bookman Old Style" w:hAnsi="Bookman Old Style"/>
          <w:sz w:val="24"/>
          <w:szCs w:val="24"/>
        </w:rPr>
      </w:pPr>
      <w:r w:rsidRPr="00501223">
        <w:rPr>
          <w:rFonts w:ascii="Bookman Old Style" w:hAnsi="Bookman Old Style"/>
          <w:sz w:val="24"/>
          <w:szCs w:val="24"/>
        </w:rPr>
        <w:t xml:space="preserve">A high ease of Doing Business ranking means the regulatory environment is more conducive to the starting and operation of a local firm. The ease of doing business impacts directly and indirectly on the export competitiveness </w:t>
      </w:r>
      <w:r w:rsidRPr="00501223">
        <w:rPr>
          <w:rFonts w:ascii="Bookman Old Style" w:hAnsi="Bookman Old Style"/>
          <w:sz w:val="24"/>
          <w:szCs w:val="24"/>
        </w:rPr>
        <w:lastRenderedPageBreak/>
        <w:t>of exporters in any country. Nigeria’s ranking as compared with some selected countries is shown in the table below:</w:t>
      </w:r>
    </w:p>
    <w:p w14:paraId="773489D9" w14:textId="77777777" w:rsidR="00953A07" w:rsidRDefault="00953A07" w:rsidP="00DC225C">
      <w:pPr>
        <w:pStyle w:val="NoSpacing"/>
        <w:suppressAutoHyphens/>
        <w:spacing w:after="0"/>
        <w:jc w:val="both"/>
        <w:rPr>
          <w:rFonts w:ascii="Bookman Old Style" w:hAnsi="Bookman Old Style"/>
          <w:b/>
          <w:sz w:val="24"/>
          <w:szCs w:val="24"/>
        </w:rPr>
      </w:pPr>
    </w:p>
    <w:p w14:paraId="54BFCCC2" w14:textId="77777777" w:rsidR="00953A07" w:rsidRDefault="00953A07" w:rsidP="00DC225C">
      <w:pPr>
        <w:pStyle w:val="NoSpacing"/>
        <w:suppressAutoHyphens/>
        <w:spacing w:after="0"/>
        <w:jc w:val="both"/>
        <w:rPr>
          <w:rFonts w:ascii="Bookman Old Style" w:hAnsi="Bookman Old Style"/>
          <w:b/>
          <w:sz w:val="24"/>
          <w:szCs w:val="24"/>
        </w:rPr>
      </w:pPr>
    </w:p>
    <w:p w14:paraId="0A4CC013" w14:textId="77777777" w:rsidR="00953A07" w:rsidRDefault="00953A07" w:rsidP="00DC225C">
      <w:pPr>
        <w:pStyle w:val="NoSpacing"/>
        <w:suppressAutoHyphens/>
        <w:spacing w:after="0"/>
        <w:jc w:val="both"/>
        <w:rPr>
          <w:rFonts w:ascii="Bookman Old Style" w:hAnsi="Bookman Old Style"/>
          <w:b/>
          <w:sz w:val="24"/>
          <w:szCs w:val="24"/>
        </w:rPr>
      </w:pPr>
    </w:p>
    <w:p w14:paraId="412F7885" w14:textId="77777777" w:rsidR="00953A07" w:rsidRDefault="00953A07" w:rsidP="00DC225C">
      <w:pPr>
        <w:pStyle w:val="NoSpacing"/>
        <w:suppressAutoHyphens/>
        <w:spacing w:after="0"/>
        <w:jc w:val="both"/>
        <w:rPr>
          <w:rFonts w:ascii="Bookman Old Style" w:hAnsi="Bookman Old Style"/>
          <w:b/>
          <w:sz w:val="24"/>
          <w:szCs w:val="24"/>
        </w:rPr>
      </w:pPr>
    </w:p>
    <w:p w14:paraId="14102126" w14:textId="77777777" w:rsidR="00953A07" w:rsidRDefault="00953A07" w:rsidP="00DC225C">
      <w:pPr>
        <w:pStyle w:val="NoSpacing"/>
        <w:suppressAutoHyphens/>
        <w:spacing w:after="0"/>
        <w:jc w:val="both"/>
        <w:rPr>
          <w:rFonts w:ascii="Bookman Old Style" w:hAnsi="Bookman Old Style"/>
          <w:b/>
          <w:sz w:val="24"/>
          <w:szCs w:val="24"/>
        </w:rPr>
      </w:pPr>
    </w:p>
    <w:p w14:paraId="742451D1" w14:textId="77777777" w:rsidR="00953A07" w:rsidRDefault="00953A07" w:rsidP="00DC225C">
      <w:pPr>
        <w:pStyle w:val="NoSpacing"/>
        <w:suppressAutoHyphens/>
        <w:spacing w:after="0"/>
        <w:jc w:val="both"/>
        <w:rPr>
          <w:rFonts w:ascii="Bookman Old Style" w:hAnsi="Bookman Old Style"/>
          <w:b/>
          <w:sz w:val="24"/>
          <w:szCs w:val="24"/>
        </w:rPr>
      </w:pPr>
    </w:p>
    <w:p w14:paraId="7BB11D4A" w14:textId="77777777" w:rsidR="00953A07" w:rsidRDefault="00953A07" w:rsidP="00DC225C">
      <w:pPr>
        <w:pStyle w:val="NoSpacing"/>
        <w:suppressAutoHyphens/>
        <w:spacing w:after="0"/>
        <w:jc w:val="both"/>
        <w:rPr>
          <w:rFonts w:ascii="Bookman Old Style" w:hAnsi="Bookman Old Style"/>
          <w:b/>
          <w:sz w:val="24"/>
          <w:szCs w:val="24"/>
        </w:rPr>
      </w:pPr>
    </w:p>
    <w:p w14:paraId="0879EBEA" w14:textId="77777777" w:rsidR="00953A07" w:rsidRDefault="00953A07" w:rsidP="00DC225C">
      <w:pPr>
        <w:pStyle w:val="NoSpacing"/>
        <w:suppressAutoHyphens/>
        <w:spacing w:after="0"/>
        <w:jc w:val="both"/>
        <w:rPr>
          <w:rFonts w:ascii="Bookman Old Style" w:hAnsi="Bookman Old Style"/>
          <w:b/>
          <w:sz w:val="24"/>
          <w:szCs w:val="24"/>
        </w:rPr>
      </w:pPr>
    </w:p>
    <w:p w14:paraId="122339B6" w14:textId="77777777" w:rsidR="00953A07" w:rsidRDefault="00953A07" w:rsidP="00DC225C">
      <w:pPr>
        <w:pStyle w:val="NoSpacing"/>
        <w:suppressAutoHyphens/>
        <w:spacing w:after="0"/>
        <w:jc w:val="both"/>
        <w:rPr>
          <w:rFonts w:ascii="Bookman Old Style" w:hAnsi="Bookman Old Style"/>
          <w:b/>
          <w:sz w:val="24"/>
          <w:szCs w:val="24"/>
        </w:rPr>
      </w:pPr>
    </w:p>
    <w:p w14:paraId="3124834F" w14:textId="77777777" w:rsidR="00953A07" w:rsidRDefault="00953A07" w:rsidP="00DC225C">
      <w:pPr>
        <w:pStyle w:val="NoSpacing"/>
        <w:suppressAutoHyphens/>
        <w:spacing w:after="0"/>
        <w:jc w:val="both"/>
        <w:rPr>
          <w:rFonts w:ascii="Bookman Old Style" w:hAnsi="Bookman Old Style"/>
          <w:b/>
          <w:sz w:val="24"/>
          <w:szCs w:val="24"/>
        </w:rPr>
      </w:pPr>
    </w:p>
    <w:p w14:paraId="6364D8C5" w14:textId="77777777" w:rsidR="00953A07" w:rsidRDefault="00953A07" w:rsidP="00DC225C">
      <w:pPr>
        <w:pStyle w:val="NoSpacing"/>
        <w:suppressAutoHyphens/>
        <w:spacing w:after="0"/>
        <w:jc w:val="both"/>
        <w:rPr>
          <w:rFonts w:ascii="Bookman Old Style" w:hAnsi="Bookman Old Style"/>
          <w:b/>
          <w:sz w:val="24"/>
          <w:szCs w:val="24"/>
        </w:rPr>
      </w:pPr>
    </w:p>
    <w:p w14:paraId="06F84EF4" w14:textId="01EA6084" w:rsidR="00493D7A" w:rsidRPr="00DC225C" w:rsidRDefault="00953A07" w:rsidP="00DC225C">
      <w:pPr>
        <w:pStyle w:val="NoSpacing"/>
        <w:suppressAutoHyphens/>
        <w:spacing w:after="0"/>
        <w:jc w:val="both"/>
        <w:rPr>
          <w:rFonts w:ascii="Bookman Old Style" w:eastAsia="Arial" w:hAnsi="Bookman Old Style" w:cs="Arial"/>
          <w:b/>
          <w:sz w:val="24"/>
          <w:szCs w:val="24"/>
        </w:rPr>
      </w:pPr>
      <w:r>
        <w:rPr>
          <w:rFonts w:ascii="Bookman Old Style" w:hAnsi="Bookman Old Style"/>
          <w:b/>
          <w:sz w:val="24"/>
          <w:szCs w:val="24"/>
        </w:rPr>
        <w:t>Table 4.2</w:t>
      </w:r>
      <w:r w:rsidR="00DC225C" w:rsidRPr="00DC225C">
        <w:rPr>
          <w:rFonts w:ascii="Bookman Old Style" w:hAnsi="Bookman Old Style"/>
          <w:b/>
          <w:sz w:val="24"/>
          <w:szCs w:val="24"/>
        </w:rPr>
        <w:t xml:space="preserve"> </w:t>
      </w:r>
      <w:r w:rsidR="00493D7A" w:rsidRPr="00DC225C">
        <w:rPr>
          <w:rFonts w:ascii="Bookman Old Style" w:hAnsi="Bookman Old Style"/>
          <w:b/>
          <w:color w:val="auto"/>
          <w:sz w:val="24"/>
          <w:szCs w:val="24"/>
          <w:u w:color="499BC9"/>
        </w:rPr>
        <w:t>World Bank Group: 2015 Doing Business ranking data for Nigeria and Selected countries</w:t>
      </w:r>
    </w:p>
    <w:tbl>
      <w:tblPr>
        <w:tblW w:w="907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701"/>
        <w:gridCol w:w="1134"/>
        <w:gridCol w:w="1276"/>
        <w:gridCol w:w="992"/>
        <w:gridCol w:w="1276"/>
        <w:gridCol w:w="851"/>
        <w:gridCol w:w="992"/>
        <w:gridCol w:w="850"/>
      </w:tblGrid>
      <w:tr w:rsidR="00493D7A" w:rsidRPr="00501223" w14:paraId="5D2BF5EF" w14:textId="77777777" w:rsidTr="00DC225C">
        <w:trPr>
          <w:trHeight w:val="518"/>
        </w:trPr>
        <w:tc>
          <w:tcPr>
            <w:tcW w:w="1701" w:type="dxa"/>
            <w:tcBorders>
              <w:top w:val="single" w:sz="4" w:space="0" w:color="000000"/>
              <w:left w:val="single" w:sz="4" w:space="0" w:color="000000"/>
              <w:bottom w:val="single" w:sz="4" w:space="0" w:color="000000"/>
              <w:right w:val="single" w:sz="4" w:space="0" w:color="000000"/>
            </w:tcBorders>
            <w:shd w:val="clear" w:color="auto" w:fill="808080"/>
            <w:tcMar>
              <w:top w:w="80" w:type="dxa"/>
              <w:left w:w="80" w:type="dxa"/>
              <w:bottom w:w="80" w:type="dxa"/>
              <w:right w:w="80" w:type="dxa"/>
            </w:tcMar>
            <w:vAlign w:val="center"/>
          </w:tcPr>
          <w:p w14:paraId="7EF9959E"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b/>
                <w:bCs/>
              </w:rPr>
              <w:t>Ranking criteria</w:t>
            </w:r>
          </w:p>
        </w:tc>
        <w:tc>
          <w:tcPr>
            <w:tcW w:w="1134" w:type="dxa"/>
            <w:tcBorders>
              <w:top w:val="single" w:sz="4" w:space="0" w:color="000000"/>
              <w:left w:val="single" w:sz="4" w:space="0" w:color="000000"/>
              <w:bottom w:val="single" w:sz="4" w:space="0" w:color="000000"/>
              <w:right w:val="single" w:sz="4" w:space="0" w:color="000000"/>
            </w:tcBorders>
            <w:shd w:val="clear" w:color="auto" w:fill="808080"/>
            <w:tcMar>
              <w:top w:w="80" w:type="dxa"/>
              <w:left w:w="80" w:type="dxa"/>
              <w:bottom w:w="80" w:type="dxa"/>
              <w:right w:w="80" w:type="dxa"/>
            </w:tcMar>
            <w:vAlign w:val="center"/>
          </w:tcPr>
          <w:p w14:paraId="47EDCA54"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b/>
                <w:bCs/>
              </w:rPr>
              <w:t>Nigeria</w:t>
            </w:r>
          </w:p>
        </w:tc>
        <w:tc>
          <w:tcPr>
            <w:tcW w:w="1276" w:type="dxa"/>
            <w:tcBorders>
              <w:top w:val="single" w:sz="4" w:space="0" w:color="000000"/>
              <w:left w:val="single" w:sz="4" w:space="0" w:color="000000"/>
              <w:bottom w:val="single" w:sz="4" w:space="0" w:color="000000"/>
              <w:right w:val="single" w:sz="4" w:space="0" w:color="000000"/>
            </w:tcBorders>
            <w:shd w:val="clear" w:color="auto" w:fill="808080"/>
            <w:tcMar>
              <w:top w:w="80" w:type="dxa"/>
              <w:left w:w="80" w:type="dxa"/>
              <w:bottom w:w="80" w:type="dxa"/>
              <w:right w:w="80" w:type="dxa"/>
            </w:tcMar>
            <w:vAlign w:val="center"/>
          </w:tcPr>
          <w:p w14:paraId="0877E324"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b/>
                <w:bCs/>
              </w:rPr>
              <w:t>South Africa</w:t>
            </w:r>
          </w:p>
        </w:tc>
        <w:tc>
          <w:tcPr>
            <w:tcW w:w="992" w:type="dxa"/>
            <w:tcBorders>
              <w:top w:val="single" w:sz="4" w:space="0" w:color="000000"/>
              <w:left w:val="single" w:sz="4" w:space="0" w:color="000000"/>
              <w:bottom w:val="single" w:sz="4" w:space="0" w:color="000000"/>
              <w:right w:val="single" w:sz="4" w:space="0" w:color="000000"/>
            </w:tcBorders>
            <w:shd w:val="clear" w:color="auto" w:fill="808080"/>
            <w:tcMar>
              <w:top w:w="80" w:type="dxa"/>
              <w:left w:w="80" w:type="dxa"/>
              <w:bottom w:w="80" w:type="dxa"/>
              <w:right w:w="80" w:type="dxa"/>
            </w:tcMar>
            <w:vAlign w:val="center"/>
          </w:tcPr>
          <w:p w14:paraId="7A51A1C2"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b/>
                <w:bCs/>
              </w:rPr>
              <w:t>Ghana</w:t>
            </w:r>
          </w:p>
        </w:tc>
        <w:tc>
          <w:tcPr>
            <w:tcW w:w="1276" w:type="dxa"/>
            <w:tcBorders>
              <w:top w:val="single" w:sz="4" w:space="0" w:color="000000"/>
              <w:left w:val="single" w:sz="4" w:space="0" w:color="000000"/>
              <w:bottom w:val="single" w:sz="4" w:space="0" w:color="000000"/>
              <w:right w:val="single" w:sz="4" w:space="0" w:color="000000"/>
            </w:tcBorders>
            <w:shd w:val="clear" w:color="auto" w:fill="808080"/>
            <w:tcMar>
              <w:top w:w="80" w:type="dxa"/>
              <w:left w:w="80" w:type="dxa"/>
              <w:bottom w:w="80" w:type="dxa"/>
              <w:right w:w="80" w:type="dxa"/>
            </w:tcMar>
            <w:vAlign w:val="center"/>
          </w:tcPr>
          <w:p w14:paraId="28B78CD5"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b/>
                <w:bCs/>
              </w:rPr>
              <w:t>Botswana</w:t>
            </w:r>
          </w:p>
        </w:tc>
        <w:tc>
          <w:tcPr>
            <w:tcW w:w="851" w:type="dxa"/>
            <w:tcBorders>
              <w:top w:val="single" w:sz="4" w:space="0" w:color="000000"/>
              <w:left w:val="single" w:sz="4" w:space="0" w:color="000000"/>
              <w:bottom w:val="single" w:sz="4" w:space="0" w:color="000000"/>
              <w:right w:val="single" w:sz="4" w:space="0" w:color="000000"/>
            </w:tcBorders>
            <w:shd w:val="clear" w:color="auto" w:fill="808080"/>
            <w:tcMar>
              <w:top w:w="80" w:type="dxa"/>
              <w:left w:w="80" w:type="dxa"/>
              <w:bottom w:w="80" w:type="dxa"/>
              <w:right w:w="80" w:type="dxa"/>
            </w:tcMar>
            <w:vAlign w:val="center"/>
          </w:tcPr>
          <w:p w14:paraId="24A29CE0"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b/>
                <w:bCs/>
              </w:rPr>
              <w:t>China</w:t>
            </w:r>
          </w:p>
        </w:tc>
        <w:tc>
          <w:tcPr>
            <w:tcW w:w="992" w:type="dxa"/>
            <w:tcBorders>
              <w:top w:val="single" w:sz="4" w:space="0" w:color="000000"/>
              <w:left w:val="single" w:sz="4" w:space="0" w:color="000000"/>
              <w:bottom w:val="single" w:sz="4" w:space="0" w:color="000000"/>
              <w:right w:val="single" w:sz="4" w:space="0" w:color="000000"/>
            </w:tcBorders>
            <w:shd w:val="clear" w:color="auto" w:fill="808080"/>
            <w:tcMar>
              <w:top w:w="80" w:type="dxa"/>
              <w:left w:w="80" w:type="dxa"/>
              <w:bottom w:w="80" w:type="dxa"/>
              <w:right w:w="80" w:type="dxa"/>
            </w:tcMar>
            <w:vAlign w:val="center"/>
          </w:tcPr>
          <w:p w14:paraId="0D68FA85"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b/>
                <w:bCs/>
              </w:rPr>
              <w:t>Turkey</w:t>
            </w:r>
          </w:p>
        </w:tc>
        <w:tc>
          <w:tcPr>
            <w:tcW w:w="850" w:type="dxa"/>
            <w:tcBorders>
              <w:top w:val="single" w:sz="4" w:space="0" w:color="000000"/>
              <w:left w:val="single" w:sz="4" w:space="0" w:color="000000"/>
              <w:bottom w:val="single" w:sz="4" w:space="0" w:color="000000"/>
              <w:right w:val="single" w:sz="4" w:space="0" w:color="000000"/>
            </w:tcBorders>
            <w:shd w:val="clear" w:color="auto" w:fill="808080"/>
            <w:tcMar>
              <w:top w:w="80" w:type="dxa"/>
              <w:left w:w="80" w:type="dxa"/>
              <w:bottom w:w="80" w:type="dxa"/>
              <w:right w:w="80" w:type="dxa"/>
            </w:tcMar>
            <w:vAlign w:val="center"/>
          </w:tcPr>
          <w:p w14:paraId="0F5F7C30"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b/>
                <w:bCs/>
              </w:rPr>
              <w:t>India</w:t>
            </w:r>
          </w:p>
        </w:tc>
      </w:tr>
      <w:tr w:rsidR="00493D7A" w:rsidRPr="00501223" w14:paraId="49B26AC9" w14:textId="77777777" w:rsidTr="00DC225C">
        <w:trPr>
          <w:trHeight w:val="555"/>
        </w:trPr>
        <w:tc>
          <w:tcPr>
            <w:tcW w:w="170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A86AA03" w14:textId="77777777" w:rsidR="00493D7A" w:rsidRPr="00DC225C" w:rsidRDefault="00493D7A" w:rsidP="00493D7A">
            <w:pPr>
              <w:pStyle w:val="BodyBA"/>
              <w:suppressAutoHyphens/>
              <w:jc w:val="both"/>
              <w:rPr>
                <w:rFonts w:ascii="Bookman Old Style" w:hAnsi="Bookman Old Style"/>
              </w:rPr>
            </w:pPr>
            <w:r w:rsidRPr="00DC225C">
              <w:rPr>
                <w:rFonts w:ascii="Bookman Old Style" w:hAnsi="Bookman Old Style"/>
                <w:bCs/>
                <w:sz w:val="21"/>
                <w:szCs w:val="21"/>
              </w:rPr>
              <w:t>Ease of doing business</w:t>
            </w:r>
          </w:p>
        </w:tc>
        <w:tc>
          <w:tcPr>
            <w:tcW w:w="1134"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14:paraId="1B352D47"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170</w:t>
            </w:r>
          </w:p>
        </w:tc>
        <w:tc>
          <w:tcPr>
            <w:tcW w:w="1276"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6216BDC1"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43</w:t>
            </w:r>
          </w:p>
        </w:tc>
        <w:tc>
          <w:tcPr>
            <w:tcW w:w="992" w:type="dxa"/>
            <w:tcBorders>
              <w:top w:val="single" w:sz="4" w:space="0" w:color="000000"/>
              <w:left w:val="single" w:sz="4" w:space="0" w:color="000000"/>
              <w:bottom w:val="single" w:sz="4" w:space="0" w:color="000000"/>
              <w:right w:val="single" w:sz="4" w:space="0" w:color="000000"/>
            </w:tcBorders>
            <w:shd w:val="clear" w:color="auto" w:fill="FFD4D2"/>
            <w:tcMar>
              <w:top w:w="80" w:type="dxa"/>
              <w:left w:w="80" w:type="dxa"/>
              <w:bottom w:w="80" w:type="dxa"/>
              <w:right w:w="80" w:type="dxa"/>
            </w:tcMar>
            <w:vAlign w:val="center"/>
          </w:tcPr>
          <w:p w14:paraId="1D7A8176"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70</w:t>
            </w:r>
          </w:p>
        </w:tc>
        <w:tc>
          <w:tcPr>
            <w:tcW w:w="1276" w:type="dxa"/>
            <w:tcBorders>
              <w:top w:val="single" w:sz="4" w:space="0" w:color="000000"/>
              <w:left w:val="single" w:sz="4" w:space="0" w:color="000000"/>
              <w:bottom w:val="single" w:sz="4" w:space="0" w:color="000000"/>
              <w:right w:val="single" w:sz="4" w:space="0" w:color="000000"/>
            </w:tcBorders>
            <w:shd w:val="clear" w:color="auto" w:fill="CF8FE4"/>
            <w:tcMar>
              <w:top w:w="80" w:type="dxa"/>
              <w:left w:w="80" w:type="dxa"/>
              <w:bottom w:w="80" w:type="dxa"/>
              <w:right w:w="80" w:type="dxa"/>
            </w:tcMar>
            <w:vAlign w:val="center"/>
          </w:tcPr>
          <w:p w14:paraId="7FC5585E"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FF8079"/>
            <w:tcMar>
              <w:top w:w="80" w:type="dxa"/>
              <w:left w:w="80" w:type="dxa"/>
              <w:bottom w:w="80" w:type="dxa"/>
              <w:right w:w="80" w:type="dxa"/>
            </w:tcMar>
            <w:vAlign w:val="center"/>
          </w:tcPr>
          <w:p w14:paraId="50DBF972"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3</w:t>
            </w:r>
          </w:p>
        </w:tc>
        <w:tc>
          <w:tcPr>
            <w:tcW w:w="99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1FD6874"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55</w:t>
            </w:r>
          </w:p>
        </w:tc>
        <w:tc>
          <w:tcPr>
            <w:tcW w:w="850" w:type="dxa"/>
            <w:tcBorders>
              <w:top w:val="single" w:sz="4" w:space="0" w:color="000000"/>
              <w:left w:val="single" w:sz="4" w:space="0" w:color="000000"/>
              <w:bottom w:val="single" w:sz="4" w:space="0" w:color="000000"/>
              <w:right w:val="single" w:sz="4" w:space="0" w:color="000000"/>
            </w:tcBorders>
            <w:shd w:val="clear" w:color="auto" w:fill="FFCB88"/>
            <w:tcMar>
              <w:top w:w="80" w:type="dxa"/>
              <w:left w:w="80" w:type="dxa"/>
              <w:bottom w:w="80" w:type="dxa"/>
              <w:right w:w="80" w:type="dxa"/>
            </w:tcMar>
            <w:vAlign w:val="center"/>
          </w:tcPr>
          <w:p w14:paraId="119CDC0C"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142</w:t>
            </w:r>
          </w:p>
        </w:tc>
      </w:tr>
      <w:tr w:rsidR="00493D7A" w:rsidRPr="00501223" w14:paraId="4CF0DD83" w14:textId="77777777" w:rsidTr="00DC225C">
        <w:trPr>
          <w:trHeight w:val="483"/>
        </w:trPr>
        <w:tc>
          <w:tcPr>
            <w:tcW w:w="170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CB78439" w14:textId="77777777" w:rsidR="00493D7A" w:rsidRPr="00DC225C" w:rsidRDefault="00493D7A" w:rsidP="00493D7A">
            <w:pPr>
              <w:pStyle w:val="BodyBA"/>
              <w:suppressAutoHyphens/>
              <w:jc w:val="both"/>
              <w:rPr>
                <w:rFonts w:ascii="Bookman Old Style" w:hAnsi="Bookman Old Style"/>
              </w:rPr>
            </w:pPr>
            <w:r w:rsidRPr="00DC225C">
              <w:rPr>
                <w:rFonts w:ascii="Bookman Old Style" w:hAnsi="Bookman Old Style"/>
                <w:bCs/>
                <w:sz w:val="21"/>
                <w:szCs w:val="21"/>
              </w:rPr>
              <w:t>Starting a business</w:t>
            </w:r>
          </w:p>
        </w:tc>
        <w:tc>
          <w:tcPr>
            <w:tcW w:w="1134"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14:paraId="07586B6F"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129</w:t>
            </w:r>
          </w:p>
        </w:tc>
        <w:tc>
          <w:tcPr>
            <w:tcW w:w="1276"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661E23F0"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61</w:t>
            </w:r>
          </w:p>
        </w:tc>
        <w:tc>
          <w:tcPr>
            <w:tcW w:w="992" w:type="dxa"/>
            <w:tcBorders>
              <w:top w:val="single" w:sz="4" w:space="0" w:color="000000"/>
              <w:left w:val="single" w:sz="4" w:space="0" w:color="000000"/>
              <w:bottom w:val="single" w:sz="4" w:space="0" w:color="000000"/>
              <w:right w:val="single" w:sz="4" w:space="0" w:color="000000"/>
            </w:tcBorders>
            <w:shd w:val="clear" w:color="auto" w:fill="FFD4D2"/>
            <w:tcMar>
              <w:top w:w="80" w:type="dxa"/>
              <w:left w:w="80" w:type="dxa"/>
              <w:bottom w:w="80" w:type="dxa"/>
              <w:right w:w="80" w:type="dxa"/>
            </w:tcMar>
            <w:vAlign w:val="center"/>
          </w:tcPr>
          <w:p w14:paraId="2D55AB3F"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96</w:t>
            </w:r>
          </w:p>
        </w:tc>
        <w:tc>
          <w:tcPr>
            <w:tcW w:w="1276" w:type="dxa"/>
            <w:tcBorders>
              <w:top w:val="single" w:sz="4" w:space="0" w:color="000000"/>
              <w:left w:val="single" w:sz="4" w:space="0" w:color="000000"/>
              <w:bottom w:val="single" w:sz="4" w:space="0" w:color="000000"/>
              <w:right w:val="single" w:sz="4" w:space="0" w:color="000000"/>
            </w:tcBorders>
            <w:shd w:val="clear" w:color="auto" w:fill="CF8FE4"/>
            <w:tcMar>
              <w:top w:w="80" w:type="dxa"/>
              <w:left w:w="80" w:type="dxa"/>
              <w:bottom w:w="80" w:type="dxa"/>
              <w:right w:w="80" w:type="dxa"/>
            </w:tcMar>
            <w:vAlign w:val="center"/>
          </w:tcPr>
          <w:p w14:paraId="4A97496E"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149</w:t>
            </w:r>
          </w:p>
        </w:tc>
        <w:tc>
          <w:tcPr>
            <w:tcW w:w="851" w:type="dxa"/>
            <w:tcBorders>
              <w:top w:val="single" w:sz="4" w:space="0" w:color="000000"/>
              <w:left w:val="single" w:sz="4" w:space="0" w:color="000000"/>
              <w:bottom w:val="single" w:sz="4" w:space="0" w:color="000000"/>
              <w:right w:val="single" w:sz="4" w:space="0" w:color="000000"/>
            </w:tcBorders>
            <w:shd w:val="clear" w:color="auto" w:fill="FF8079"/>
            <w:tcMar>
              <w:top w:w="80" w:type="dxa"/>
              <w:left w:w="80" w:type="dxa"/>
              <w:bottom w:w="80" w:type="dxa"/>
              <w:right w:w="80" w:type="dxa"/>
            </w:tcMar>
            <w:vAlign w:val="center"/>
          </w:tcPr>
          <w:p w14:paraId="28E8EDFC"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8</w:t>
            </w:r>
          </w:p>
        </w:tc>
        <w:tc>
          <w:tcPr>
            <w:tcW w:w="99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AFE9B0A"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79</w:t>
            </w:r>
          </w:p>
        </w:tc>
        <w:tc>
          <w:tcPr>
            <w:tcW w:w="850" w:type="dxa"/>
            <w:tcBorders>
              <w:top w:val="single" w:sz="4" w:space="0" w:color="000000"/>
              <w:left w:val="single" w:sz="4" w:space="0" w:color="000000"/>
              <w:bottom w:val="single" w:sz="4" w:space="0" w:color="000000"/>
              <w:right w:val="single" w:sz="4" w:space="0" w:color="000000"/>
            </w:tcBorders>
            <w:shd w:val="clear" w:color="auto" w:fill="FFCB88"/>
            <w:tcMar>
              <w:top w:w="80" w:type="dxa"/>
              <w:left w:w="80" w:type="dxa"/>
              <w:bottom w:w="80" w:type="dxa"/>
              <w:right w:w="80" w:type="dxa"/>
            </w:tcMar>
            <w:vAlign w:val="center"/>
          </w:tcPr>
          <w:p w14:paraId="648E94D7"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158</w:t>
            </w:r>
          </w:p>
        </w:tc>
      </w:tr>
      <w:tr w:rsidR="00493D7A" w:rsidRPr="00501223" w14:paraId="6D5F07B9" w14:textId="77777777" w:rsidTr="00DC225C">
        <w:trPr>
          <w:trHeight w:val="470"/>
        </w:trPr>
        <w:tc>
          <w:tcPr>
            <w:tcW w:w="170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F6EC986" w14:textId="77777777" w:rsidR="00493D7A" w:rsidRPr="00DC225C" w:rsidRDefault="00493D7A" w:rsidP="00493D7A">
            <w:pPr>
              <w:pStyle w:val="BodyBA"/>
              <w:suppressAutoHyphens/>
              <w:jc w:val="both"/>
              <w:rPr>
                <w:rFonts w:ascii="Bookman Old Style" w:hAnsi="Bookman Old Style"/>
              </w:rPr>
            </w:pPr>
            <w:r w:rsidRPr="00DC225C">
              <w:rPr>
                <w:rFonts w:ascii="Bookman Old Style" w:hAnsi="Bookman Old Style"/>
                <w:bCs/>
                <w:sz w:val="21"/>
                <w:szCs w:val="21"/>
              </w:rPr>
              <w:t>Getting Electricity</w:t>
            </w:r>
          </w:p>
        </w:tc>
        <w:tc>
          <w:tcPr>
            <w:tcW w:w="1134"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14:paraId="6835F8D6"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187</w:t>
            </w:r>
          </w:p>
        </w:tc>
        <w:tc>
          <w:tcPr>
            <w:tcW w:w="1276"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79981DCE"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158</w:t>
            </w:r>
          </w:p>
        </w:tc>
        <w:tc>
          <w:tcPr>
            <w:tcW w:w="992" w:type="dxa"/>
            <w:tcBorders>
              <w:top w:val="single" w:sz="4" w:space="0" w:color="000000"/>
              <w:left w:val="single" w:sz="4" w:space="0" w:color="000000"/>
              <w:bottom w:val="single" w:sz="4" w:space="0" w:color="000000"/>
              <w:right w:val="single" w:sz="4" w:space="0" w:color="000000"/>
            </w:tcBorders>
            <w:shd w:val="clear" w:color="auto" w:fill="FFD4D2"/>
            <w:tcMar>
              <w:top w:w="80" w:type="dxa"/>
              <w:left w:w="80" w:type="dxa"/>
              <w:bottom w:w="80" w:type="dxa"/>
              <w:right w:w="80" w:type="dxa"/>
            </w:tcMar>
            <w:vAlign w:val="center"/>
          </w:tcPr>
          <w:p w14:paraId="5BBC4F89"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71</w:t>
            </w:r>
          </w:p>
        </w:tc>
        <w:tc>
          <w:tcPr>
            <w:tcW w:w="1276" w:type="dxa"/>
            <w:tcBorders>
              <w:top w:val="single" w:sz="4" w:space="0" w:color="000000"/>
              <w:left w:val="single" w:sz="4" w:space="0" w:color="000000"/>
              <w:bottom w:val="single" w:sz="4" w:space="0" w:color="000000"/>
              <w:right w:val="single" w:sz="4" w:space="0" w:color="000000"/>
            </w:tcBorders>
            <w:shd w:val="clear" w:color="auto" w:fill="CF8FE4"/>
            <w:tcMar>
              <w:top w:w="80" w:type="dxa"/>
              <w:left w:w="80" w:type="dxa"/>
              <w:bottom w:w="80" w:type="dxa"/>
              <w:right w:w="80" w:type="dxa"/>
            </w:tcMar>
            <w:vAlign w:val="center"/>
          </w:tcPr>
          <w:p w14:paraId="62442398"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103</w:t>
            </w:r>
          </w:p>
        </w:tc>
        <w:tc>
          <w:tcPr>
            <w:tcW w:w="851" w:type="dxa"/>
            <w:tcBorders>
              <w:top w:val="single" w:sz="4" w:space="0" w:color="000000"/>
              <w:left w:val="single" w:sz="4" w:space="0" w:color="000000"/>
              <w:bottom w:val="single" w:sz="4" w:space="0" w:color="000000"/>
              <w:right w:val="single" w:sz="4" w:space="0" w:color="000000"/>
            </w:tcBorders>
            <w:shd w:val="clear" w:color="auto" w:fill="FF8079"/>
            <w:tcMar>
              <w:top w:w="80" w:type="dxa"/>
              <w:left w:w="80" w:type="dxa"/>
              <w:bottom w:w="80" w:type="dxa"/>
              <w:right w:w="80" w:type="dxa"/>
            </w:tcMar>
            <w:vAlign w:val="center"/>
          </w:tcPr>
          <w:p w14:paraId="6B165C7A"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3E6A17D"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FFCB88"/>
            <w:tcMar>
              <w:top w:w="80" w:type="dxa"/>
              <w:left w:w="80" w:type="dxa"/>
              <w:bottom w:w="80" w:type="dxa"/>
              <w:right w:w="80" w:type="dxa"/>
            </w:tcMar>
            <w:vAlign w:val="center"/>
          </w:tcPr>
          <w:p w14:paraId="51CE2B46"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137</w:t>
            </w:r>
          </w:p>
        </w:tc>
      </w:tr>
      <w:tr w:rsidR="00493D7A" w:rsidRPr="00501223" w14:paraId="09EA647F" w14:textId="77777777" w:rsidTr="00DC225C">
        <w:trPr>
          <w:trHeight w:val="560"/>
        </w:trPr>
        <w:tc>
          <w:tcPr>
            <w:tcW w:w="170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1B8489A" w14:textId="77777777" w:rsidR="00493D7A" w:rsidRPr="00DC225C" w:rsidRDefault="00493D7A" w:rsidP="00493D7A">
            <w:pPr>
              <w:pStyle w:val="BodyBA"/>
              <w:suppressAutoHyphens/>
              <w:jc w:val="both"/>
              <w:rPr>
                <w:rFonts w:ascii="Bookman Old Style" w:hAnsi="Bookman Old Style"/>
              </w:rPr>
            </w:pPr>
            <w:r w:rsidRPr="00DC225C">
              <w:rPr>
                <w:rFonts w:ascii="Bookman Old Style" w:hAnsi="Bookman Old Style"/>
                <w:bCs/>
                <w:sz w:val="21"/>
                <w:szCs w:val="21"/>
              </w:rPr>
              <w:t>Registering property</w:t>
            </w:r>
          </w:p>
        </w:tc>
        <w:tc>
          <w:tcPr>
            <w:tcW w:w="1134"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14:paraId="45C63AA6"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185</w:t>
            </w:r>
          </w:p>
        </w:tc>
        <w:tc>
          <w:tcPr>
            <w:tcW w:w="1276"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60C4D223"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97</w:t>
            </w:r>
          </w:p>
        </w:tc>
        <w:tc>
          <w:tcPr>
            <w:tcW w:w="992" w:type="dxa"/>
            <w:tcBorders>
              <w:top w:val="single" w:sz="4" w:space="0" w:color="000000"/>
              <w:left w:val="single" w:sz="4" w:space="0" w:color="000000"/>
              <w:bottom w:val="single" w:sz="4" w:space="0" w:color="000000"/>
              <w:right w:val="single" w:sz="4" w:space="0" w:color="000000"/>
            </w:tcBorders>
            <w:shd w:val="clear" w:color="auto" w:fill="FFD4D2"/>
            <w:tcMar>
              <w:top w:w="80" w:type="dxa"/>
              <w:left w:w="80" w:type="dxa"/>
              <w:bottom w:w="80" w:type="dxa"/>
              <w:right w:w="80" w:type="dxa"/>
            </w:tcMar>
            <w:vAlign w:val="center"/>
          </w:tcPr>
          <w:p w14:paraId="79BE6EC4"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43</w:t>
            </w:r>
          </w:p>
        </w:tc>
        <w:tc>
          <w:tcPr>
            <w:tcW w:w="1276" w:type="dxa"/>
            <w:tcBorders>
              <w:top w:val="single" w:sz="4" w:space="0" w:color="000000"/>
              <w:left w:val="single" w:sz="4" w:space="0" w:color="000000"/>
              <w:bottom w:val="single" w:sz="4" w:space="0" w:color="000000"/>
              <w:right w:val="single" w:sz="4" w:space="0" w:color="000000"/>
            </w:tcBorders>
            <w:shd w:val="clear" w:color="auto" w:fill="CF8FE4"/>
            <w:tcMar>
              <w:top w:w="80" w:type="dxa"/>
              <w:left w:w="80" w:type="dxa"/>
              <w:bottom w:w="80" w:type="dxa"/>
              <w:right w:w="80" w:type="dxa"/>
            </w:tcMar>
            <w:vAlign w:val="center"/>
          </w:tcPr>
          <w:p w14:paraId="19AC3E2E"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51</w:t>
            </w:r>
          </w:p>
        </w:tc>
        <w:tc>
          <w:tcPr>
            <w:tcW w:w="851" w:type="dxa"/>
            <w:tcBorders>
              <w:top w:val="single" w:sz="4" w:space="0" w:color="000000"/>
              <w:left w:val="single" w:sz="4" w:space="0" w:color="000000"/>
              <w:bottom w:val="single" w:sz="4" w:space="0" w:color="000000"/>
              <w:right w:val="single" w:sz="4" w:space="0" w:color="000000"/>
            </w:tcBorders>
            <w:shd w:val="clear" w:color="auto" w:fill="FF8079"/>
            <w:tcMar>
              <w:top w:w="80" w:type="dxa"/>
              <w:left w:w="80" w:type="dxa"/>
              <w:bottom w:w="80" w:type="dxa"/>
              <w:right w:w="80" w:type="dxa"/>
            </w:tcMar>
            <w:vAlign w:val="center"/>
          </w:tcPr>
          <w:p w14:paraId="7FDA309E"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96</w:t>
            </w:r>
          </w:p>
        </w:tc>
        <w:tc>
          <w:tcPr>
            <w:tcW w:w="99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088094B"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54</w:t>
            </w:r>
          </w:p>
        </w:tc>
        <w:tc>
          <w:tcPr>
            <w:tcW w:w="850" w:type="dxa"/>
            <w:tcBorders>
              <w:top w:val="single" w:sz="4" w:space="0" w:color="000000"/>
              <w:left w:val="single" w:sz="4" w:space="0" w:color="000000"/>
              <w:bottom w:val="single" w:sz="4" w:space="0" w:color="000000"/>
              <w:right w:val="single" w:sz="4" w:space="0" w:color="000000"/>
            </w:tcBorders>
            <w:shd w:val="clear" w:color="auto" w:fill="FFCB88"/>
            <w:tcMar>
              <w:top w:w="80" w:type="dxa"/>
              <w:left w:w="80" w:type="dxa"/>
              <w:bottom w:w="80" w:type="dxa"/>
              <w:right w:w="80" w:type="dxa"/>
            </w:tcMar>
            <w:vAlign w:val="center"/>
          </w:tcPr>
          <w:p w14:paraId="2DD971AA"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121</w:t>
            </w:r>
          </w:p>
        </w:tc>
      </w:tr>
      <w:tr w:rsidR="00493D7A" w:rsidRPr="00501223" w14:paraId="6E950E23" w14:textId="77777777" w:rsidTr="00DC225C">
        <w:trPr>
          <w:trHeight w:val="472"/>
        </w:trPr>
        <w:tc>
          <w:tcPr>
            <w:tcW w:w="170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01E1888" w14:textId="77777777" w:rsidR="00493D7A" w:rsidRPr="00DC225C" w:rsidRDefault="00493D7A" w:rsidP="00493D7A">
            <w:pPr>
              <w:pStyle w:val="BodyBA"/>
              <w:suppressAutoHyphens/>
              <w:jc w:val="both"/>
              <w:rPr>
                <w:rFonts w:ascii="Bookman Old Style" w:hAnsi="Bookman Old Style"/>
              </w:rPr>
            </w:pPr>
            <w:r w:rsidRPr="00DC225C">
              <w:rPr>
                <w:rFonts w:ascii="Bookman Old Style" w:hAnsi="Bookman Old Style"/>
                <w:bCs/>
                <w:sz w:val="21"/>
                <w:szCs w:val="21"/>
              </w:rPr>
              <w:t>Getting credit</w:t>
            </w:r>
          </w:p>
        </w:tc>
        <w:tc>
          <w:tcPr>
            <w:tcW w:w="1134"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14:paraId="1D9FDC52"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52</w:t>
            </w:r>
          </w:p>
        </w:tc>
        <w:tc>
          <w:tcPr>
            <w:tcW w:w="1276"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18D3F123"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52</w:t>
            </w:r>
          </w:p>
        </w:tc>
        <w:tc>
          <w:tcPr>
            <w:tcW w:w="992" w:type="dxa"/>
            <w:tcBorders>
              <w:top w:val="single" w:sz="4" w:space="0" w:color="000000"/>
              <w:left w:val="single" w:sz="4" w:space="0" w:color="000000"/>
              <w:bottom w:val="single" w:sz="4" w:space="0" w:color="000000"/>
              <w:right w:val="single" w:sz="4" w:space="0" w:color="000000"/>
            </w:tcBorders>
            <w:shd w:val="clear" w:color="auto" w:fill="FFD4D2"/>
            <w:tcMar>
              <w:top w:w="80" w:type="dxa"/>
              <w:left w:w="80" w:type="dxa"/>
              <w:bottom w:w="80" w:type="dxa"/>
              <w:right w:w="80" w:type="dxa"/>
            </w:tcMar>
            <w:vAlign w:val="center"/>
          </w:tcPr>
          <w:p w14:paraId="15D6882F"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36</w:t>
            </w:r>
          </w:p>
        </w:tc>
        <w:tc>
          <w:tcPr>
            <w:tcW w:w="1276" w:type="dxa"/>
            <w:tcBorders>
              <w:top w:val="single" w:sz="4" w:space="0" w:color="000000"/>
              <w:left w:val="single" w:sz="4" w:space="0" w:color="000000"/>
              <w:bottom w:val="single" w:sz="4" w:space="0" w:color="000000"/>
              <w:right w:val="single" w:sz="4" w:space="0" w:color="000000"/>
            </w:tcBorders>
            <w:shd w:val="clear" w:color="auto" w:fill="CF8FE4"/>
            <w:tcMar>
              <w:top w:w="80" w:type="dxa"/>
              <w:left w:w="80" w:type="dxa"/>
              <w:bottom w:w="80" w:type="dxa"/>
              <w:right w:w="80" w:type="dxa"/>
            </w:tcMar>
            <w:vAlign w:val="center"/>
          </w:tcPr>
          <w:p w14:paraId="62333CF4"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61</w:t>
            </w:r>
          </w:p>
        </w:tc>
        <w:tc>
          <w:tcPr>
            <w:tcW w:w="851" w:type="dxa"/>
            <w:tcBorders>
              <w:top w:val="single" w:sz="4" w:space="0" w:color="000000"/>
              <w:left w:val="single" w:sz="4" w:space="0" w:color="000000"/>
              <w:bottom w:val="single" w:sz="4" w:space="0" w:color="000000"/>
              <w:right w:val="single" w:sz="4" w:space="0" w:color="000000"/>
            </w:tcBorders>
            <w:shd w:val="clear" w:color="auto" w:fill="FF8079"/>
            <w:tcMar>
              <w:top w:w="80" w:type="dxa"/>
              <w:left w:w="80" w:type="dxa"/>
              <w:bottom w:w="80" w:type="dxa"/>
              <w:right w:w="80" w:type="dxa"/>
            </w:tcMar>
            <w:vAlign w:val="center"/>
          </w:tcPr>
          <w:p w14:paraId="62B63A39"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3E497E5"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89</w:t>
            </w:r>
          </w:p>
        </w:tc>
        <w:tc>
          <w:tcPr>
            <w:tcW w:w="850" w:type="dxa"/>
            <w:tcBorders>
              <w:top w:val="single" w:sz="4" w:space="0" w:color="000000"/>
              <w:left w:val="single" w:sz="4" w:space="0" w:color="000000"/>
              <w:bottom w:val="single" w:sz="4" w:space="0" w:color="000000"/>
              <w:right w:val="single" w:sz="4" w:space="0" w:color="000000"/>
            </w:tcBorders>
            <w:shd w:val="clear" w:color="auto" w:fill="FFCB88"/>
            <w:tcMar>
              <w:top w:w="80" w:type="dxa"/>
              <w:left w:w="80" w:type="dxa"/>
              <w:bottom w:w="80" w:type="dxa"/>
              <w:right w:w="80" w:type="dxa"/>
            </w:tcMar>
            <w:vAlign w:val="center"/>
          </w:tcPr>
          <w:p w14:paraId="73A3D0FA"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36</w:t>
            </w:r>
          </w:p>
        </w:tc>
      </w:tr>
      <w:tr w:rsidR="00493D7A" w:rsidRPr="00501223" w14:paraId="6BF7321A" w14:textId="77777777" w:rsidTr="00DC225C">
        <w:trPr>
          <w:trHeight w:val="503"/>
        </w:trPr>
        <w:tc>
          <w:tcPr>
            <w:tcW w:w="170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74C56B7" w14:textId="77777777" w:rsidR="00493D7A" w:rsidRPr="00DC225C" w:rsidRDefault="00493D7A" w:rsidP="00493D7A">
            <w:pPr>
              <w:pStyle w:val="BodyBA"/>
              <w:suppressAutoHyphens/>
              <w:jc w:val="both"/>
              <w:rPr>
                <w:rFonts w:ascii="Bookman Old Style" w:hAnsi="Bookman Old Style"/>
              </w:rPr>
            </w:pPr>
            <w:r w:rsidRPr="00DC225C">
              <w:rPr>
                <w:rFonts w:ascii="Bookman Old Style" w:hAnsi="Bookman Old Style"/>
                <w:bCs/>
                <w:sz w:val="21"/>
                <w:szCs w:val="21"/>
              </w:rPr>
              <w:t>Protecting investors</w:t>
            </w:r>
          </w:p>
        </w:tc>
        <w:tc>
          <w:tcPr>
            <w:tcW w:w="1134"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14:paraId="76A78A03"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62</w:t>
            </w:r>
          </w:p>
        </w:tc>
        <w:tc>
          <w:tcPr>
            <w:tcW w:w="1276"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146685A3"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FFD4D2"/>
            <w:tcMar>
              <w:top w:w="80" w:type="dxa"/>
              <w:left w:w="80" w:type="dxa"/>
              <w:bottom w:w="80" w:type="dxa"/>
              <w:right w:w="80" w:type="dxa"/>
            </w:tcMar>
            <w:vAlign w:val="center"/>
          </w:tcPr>
          <w:p w14:paraId="3C216B19"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56</w:t>
            </w:r>
          </w:p>
        </w:tc>
        <w:tc>
          <w:tcPr>
            <w:tcW w:w="1276" w:type="dxa"/>
            <w:tcBorders>
              <w:top w:val="single" w:sz="4" w:space="0" w:color="000000"/>
              <w:left w:val="single" w:sz="4" w:space="0" w:color="000000"/>
              <w:bottom w:val="single" w:sz="4" w:space="0" w:color="000000"/>
              <w:right w:val="single" w:sz="4" w:space="0" w:color="000000"/>
            </w:tcBorders>
            <w:shd w:val="clear" w:color="auto" w:fill="CF8FE4"/>
            <w:tcMar>
              <w:top w:w="80" w:type="dxa"/>
              <w:left w:w="80" w:type="dxa"/>
              <w:bottom w:w="80" w:type="dxa"/>
              <w:right w:w="80" w:type="dxa"/>
            </w:tcMar>
            <w:vAlign w:val="center"/>
          </w:tcPr>
          <w:p w14:paraId="6916705A"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106</w:t>
            </w:r>
          </w:p>
        </w:tc>
        <w:tc>
          <w:tcPr>
            <w:tcW w:w="851" w:type="dxa"/>
            <w:tcBorders>
              <w:top w:val="single" w:sz="4" w:space="0" w:color="000000"/>
              <w:left w:val="single" w:sz="4" w:space="0" w:color="000000"/>
              <w:bottom w:val="single" w:sz="4" w:space="0" w:color="000000"/>
              <w:right w:val="single" w:sz="4" w:space="0" w:color="000000"/>
            </w:tcBorders>
            <w:shd w:val="clear" w:color="auto" w:fill="FF8079"/>
            <w:tcMar>
              <w:top w:w="80" w:type="dxa"/>
              <w:left w:w="80" w:type="dxa"/>
              <w:bottom w:w="80" w:type="dxa"/>
              <w:right w:w="80" w:type="dxa"/>
            </w:tcMar>
            <w:vAlign w:val="center"/>
          </w:tcPr>
          <w:p w14:paraId="1CE11778"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2</w:t>
            </w:r>
          </w:p>
        </w:tc>
        <w:tc>
          <w:tcPr>
            <w:tcW w:w="99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24E2A38"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FFCB88"/>
            <w:tcMar>
              <w:top w:w="80" w:type="dxa"/>
              <w:left w:w="80" w:type="dxa"/>
              <w:bottom w:w="80" w:type="dxa"/>
              <w:right w:w="80" w:type="dxa"/>
            </w:tcMar>
            <w:vAlign w:val="center"/>
          </w:tcPr>
          <w:p w14:paraId="0BB64EBC"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7</w:t>
            </w:r>
          </w:p>
        </w:tc>
      </w:tr>
      <w:tr w:rsidR="00493D7A" w:rsidRPr="00501223" w14:paraId="2D7B73A5" w14:textId="77777777" w:rsidTr="00DC225C">
        <w:trPr>
          <w:trHeight w:val="513"/>
        </w:trPr>
        <w:tc>
          <w:tcPr>
            <w:tcW w:w="170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549FBF0" w14:textId="77777777" w:rsidR="00493D7A" w:rsidRPr="00DC225C" w:rsidRDefault="00493D7A" w:rsidP="00493D7A">
            <w:pPr>
              <w:pStyle w:val="BodyBA"/>
              <w:suppressAutoHyphens/>
              <w:jc w:val="both"/>
              <w:rPr>
                <w:rFonts w:ascii="Bookman Old Style" w:hAnsi="Bookman Old Style"/>
              </w:rPr>
            </w:pPr>
            <w:r w:rsidRPr="00DC225C">
              <w:rPr>
                <w:rFonts w:ascii="Bookman Old Style" w:hAnsi="Bookman Old Style"/>
                <w:bCs/>
                <w:sz w:val="21"/>
                <w:szCs w:val="21"/>
              </w:rPr>
              <w:t>Trading across borders</w:t>
            </w:r>
          </w:p>
        </w:tc>
        <w:tc>
          <w:tcPr>
            <w:tcW w:w="1134"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14:paraId="0252CB22"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159</w:t>
            </w:r>
          </w:p>
        </w:tc>
        <w:tc>
          <w:tcPr>
            <w:tcW w:w="1276"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3D477985"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FD4D2"/>
            <w:tcMar>
              <w:top w:w="80" w:type="dxa"/>
              <w:left w:w="80" w:type="dxa"/>
              <w:bottom w:w="80" w:type="dxa"/>
              <w:right w:w="80" w:type="dxa"/>
            </w:tcMar>
            <w:vAlign w:val="center"/>
          </w:tcPr>
          <w:p w14:paraId="7A0DB690"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120</w:t>
            </w:r>
          </w:p>
        </w:tc>
        <w:tc>
          <w:tcPr>
            <w:tcW w:w="1276" w:type="dxa"/>
            <w:tcBorders>
              <w:top w:val="single" w:sz="4" w:space="0" w:color="000000"/>
              <w:left w:val="single" w:sz="4" w:space="0" w:color="000000"/>
              <w:bottom w:val="single" w:sz="4" w:space="0" w:color="000000"/>
              <w:right w:val="single" w:sz="4" w:space="0" w:color="000000"/>
            </w:tcBorders>
            <w:shd w:val="clear" w:color="auto" w:fill="CF8FE4"/>
            <w:tcMar>
              <w:top w:w="80" w:type="dxa"/>
              <w:left w:w="80" w:type="dxa"/>
              <w:bottom w:w="80" w:type="dxa"/>
              <w:right w:w="80" w:type="dxa"/>
            </w:tcMar>
            <w:vAlign w:val="center"/>
          </w:tcPr>
          <w:p w14:paraId="7B219B95"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157</w:t>
            </w:r>
          </w:p>
        </w:tc>
        <w:tc>
          <w:tcPr>
            <w:tcW w:w="851" w:type="dxa"/>
            <w:tcBorders>
              <w:top w:val="single" w:sz="4" w:space="0" w:color="000000"/>
              <w:left w:val="single" w:sz="4" w:space="0" w:color="000000"/>
              <w:bottom w:val="single" w:sz="4" w:space="0" w:color="000000"/>
              <w:right w:val="single" w:sz="4" w:space="0" w:color="000000"/>
            </w:tcBorders>
            <w:shd w:val="clear" w:color="auto" w:fill="FF8079"/>
            <w:tcMar>
              <w:top w:w="80" w:type="dxa"/>
              <w:left w:w="80" w:type="dxa"/>
              <w:bottom w:w="80" w:type="dxa"/>
              <w:right w:w="80" w:type="dxa"/>
            </w:tcMar>
            <w:vAlign w:val="center"/>
          </w:tcPr>
          <w:p w14:paraId="535AAB46"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2</w:t>
            </w:r>
          </w:p>
        </w:tc>
        <w:tc>
          <w:tcPr>
            <w:tcW w:w="99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86977EA"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90</w:t>
            </w:r>
          </w:p>
        </w:tc>
        <w:tc>
          <w:tcPr>
            <w:tcW w:w="850" w:type="dxa"/>
            <w:tcBorders>
              <w:top w:val="single" w:sz="4" w:space="0" w:color="000000"/>
              <w:left w:val="single" w:sz="4" w:space="0" w:color="000000"/>
              <w:bottom w:val="single" w:sz="4" w:space="0" w:color="000000"/>
              <w:right w:val="single" w:sz="4" w:space="0" w:color="000000"/>
            </w:tcBorders>
            <w:shd w:val="clear" w:color="auto" w:fill="FFCB88"/>
            <w:tcMar>
              <w:top w:w="80" w:type="dxa"/>
              <w:left w:w="80" w:type="dxa"/>
              <w:bottom w:w="80" w:type="dxa"/>
              <w:right w:w="80" w:type="dxa"/>
            </w:tcMar>
            <w:vAlign w:val="center"/>
          </w:tcPr>
          <w:p w14:paraId="612A43E4" w14:textId="77777777" w:rsidR="00493D7A" w:rsidRPr="00501223" w:rsidRDefault="00493D7A" w:rsidP="00493D7A">
            <w:pPr>
              <w:pStyle w:val="BodyBA"/>
              <w:suppressAutoHyphens/>
              <w:spacing w:after="0"/>
              <w:jc w:val="both"/>
              <w:rPr>
                <w:rFonts w:ascii="Bookman Old Style" w:hAnsi="Bookman Old Style"/>
              </w:rPr>
            </w:pPr>
            <w:r w:rsidRPr="00501223">
              <w:rPr>
                <w:rFonts w:ascii="Bookman Old Style" w:hAnsi="Bookman Old Style"/>
              </w:rPr>
              <w:t>126</w:t>
            </w:r>
          </w:p>
        </w:tc>
      </w:tr>
    </w:tbl>
    <w:p w14:paraId="74105768" w14:textId="77777777" w:rsidR="00493D7A" w:rsidRPr="00501223" w:rsidRDefault="00493D7A" w:rsidP="00493D7A">
      <w:pPr>
        <w:pStyle w:val="NoSpacing"/>
        <w:suppressAutoHyphens/>
        <w:jc w:val="both"/>
        <w:rPr>
          <w:rFonts w:ascii="Bookman Old Style" w:eastAsia="Arial" w:hAnsi="Bookman Old Style" w:cs="Arial"/>
          <w:b/>
          <w:bCs/>
          <w:i/>
          <w:iCs/>
        </w:rPr>
      </w:pPr>
      <w:r w:rsidRPr="00501223">
        <w:rPr>
          <w:rFonts w:ascii="Bookman Old Style" w:hAnsi="Bookman Old Style"/>
          <w:b/>
          <w:bCs/>
          <w:i/>
          <w:iCs/>
        </w:rPr>
        <w:t>***The rankings for all economies are benchmarked to June 2014.</w:t>
      </w:r>
    </w:p>
    <w:p w14:paraId="31F62226" w14:textId="77777777" w:rsidR="00493D7A" w:rsidRPr="00501223" w:rsidRDefault="00493D7A" w:rsidP="00493D7A">
      <w:pPr>
        <w:pStyle w:val="NoSpacing"/>
        <w:suppressAutoHyphens/>
        <w:jc w:val="both"/>
        <w:rPr>
          <w:rFonts w:ascii="Bookman Old Style" w:eastAsia="Arial" w:hAnsi="Bookman Old Style" w:cs="Arial"/>
          <w:sz w:val="24"/>
          <w:szCs w:val="24"/>
        </w:rPr>
      </w:pPr>
    </w:p>
    <w:p w14:paraId="735BB71B" w14:textId="77777777" w:rsidR="00DC225C" w:rsidRDefault="00493D7A" w:rsidP="00DC225C">
      <w:pPr>
        <w:pStyle w:val="NoSpacing"/>
        <w:suppressAutoHyphens/>
        <w:jc w:val="both"/>
        <w:rPr>
          <w:rFonts w:ascii="Bookman Old Style" w:hAnsi="Bookman Old Style"/>
          <w:sz w:val="24"/>
          <w:szCs w:val="24"/>
        </w:rPr>
      </w:pPr>
      <w:r w:rsidRPr="00501223">
        <w:rPr>
          <w:rFonts w:ascii="Bookman Old Style" w:hAnsi="Bookman Old Style"/>
          <w:sz w:val="24"/>
          <w:szCs w:val="24"/>
        </w:rPr>
        <w:t xml:space="preserve">With the ranking in the table above, there is no gainsaying that Nigeria needs to support her non-oil exporters to cushion the impact of the identified challenges on their export businesses specifically and Nigeria’s non-oil export in general. Based on international best practices, one major path to effectively support the growth of non-oil export specifically and the </w:t>
      </w:r>
      <w:r w:rsidRPr="00501223">
        <w:rPr>
          <w:rFonts w:ascii="Bookman Old Style" w:hAnsi="Bookman Old Style"/>
          <w:sz w:val="24"/>
          <w:szCs w:val="24"/>
        </w:rPr>
        <w:lastRenderedPageBreak/>
        <w:t xml:space="preserve">economy at large is to provide a basket of incentives for non-oil exporters to cushion the inevitable challenges that they face locally. </w:t>
      </w:r>
    </w:p>
    <w:p w14:paraId="467B39FF" w14:textId="77777777" w:rsidR="00DC225C" w:rsidRDefault="00DC225C" w:rsidP="00DC225C">
      <w:pPr>
        <w:pStyle w:val="NoSpacing"/>
        <w:suppressAutoHyphens/>
        <w:jc w:val="both"/>
        <w:rPr>
          <w:rFonts w:ascii="Bookman Old Style" w:hAnsi="Bookman Old Style"/>
          <w:sz w:val="24"/>
          <w:szCs w:val="24"/>
        </w:rPr>
      </w:pPr>
    </w:p>
    <w:p w14:paraId="7FDC0840" w14:textId="0E0CD61E" w:rsidR="00493D7A" w:rsidRPr="00DC225C" w:rsidRDefault="00DC225C" w:rsidP="00DC225C">
      <w:pPr>
        <w:pStyle w:val="NoSpacing"/>
        <w:suppressAutoHyphens/>
        <w:spacing w:after="0"/>
        <w:jc w:val="both"/>
        <w:rPr>
          <w:rFonts w:ascii="Bookman Old Style" w:eastAsia="Arial" w:hAnsi="Bookman Old Style" w:cs="Arial"/>
          <w:b/>
          <w:color w:val="auto"/>
          <w:sz w:val="24"/>
          <w:szCs w:val="24"/>
        </w:rPr>
      </w:pPr>
      <w:r w:rsidRPr="00DC225C">
        <w:rPr>
          <w:rFonts w:ascii="Bookman Old Style" w:hAnsi="Bookman Old Style"/>
          <w:b/>
          <w:sz w:val="24"/>
          <w:szCs w:val="24"/>
        </w:rPr>
        <w:t xml:space="preserve">4.2 </w:t>
      </w:r>
      <w:r w:rsidR="00493D7A" w:rsidRPr="00DC225C">
        <w:rPr>
          <w:rFonts w:ascii="Bookman Old Style" w:hAnsi="Bookman Old Style"/>
          <w:b/>
          <w:color w:val="auto"/>
          <w:sz w:val="24"/>
          <w:szCs w:val="24"/>
          <w:u w:color="2F759E"/>
        </w:rPr>
        <w:t>Supporting Non-oil Export through Incentives: Examples from Other Countries</w:t>
      </w:r>
    </w:p>
    <w:p w14:paraId="37357244" w14:textId="77777777" w:rsidR="00493D7A" w:rsidRPr="00501223" w:rsidRDefault="00493D7A" w:rsidP="00493D7A">
      <w:pPr>
        <w:pStyle w:val="NoSpacing"/>
        <w:suppressAutoHyphens/>
        <w:jc w:val="both"/>
        <w:rPr>
          <w:rFonts w:ascii="Bookman Old Style" w:eastAsia="Arial" w:hAnsi="Bookman Old Style" w:cs="Arial"/>
          <w:sz w:val="24"/>
          <w:szCs w:val="24"/>
        </w:rPr>
      </w:pPr>
      <w:r w:rsidRPr="00501223">
        <w:rPr>
          <w:rFonts w:ascii="Bookman Old Style" w:hAnsi="Bookman Old Style"/>
          <w:sz w:val="24"/>
          <w:szCs w:val="24"/>
        </w:rPr>
        <w:t>Most export-dominant economies globally develop viable baskets of incentives to support their exporters to break even in the global market place.</w:t>
      </w:r>
    </w:p>
    <w:p w14:paraId="186D6DA7" w14:textId="0616C385" w:rsidR="00493D7A" w:rsidRDefault="00493D7A" w:rsidP="00493D7A">
      <w:pPr>
        <w:pStyle w:val="NoSpacing"/>
        <w:suppressAutoHyphens/>
        <w:jc w:val="both"/>
        <w:rPr>
          <w:rFonts w:ascii="Bookman Old Style" w:hAnsi="Bookman Old Style"/>
          <w:sz w:val="24"/>
          <w:szCs w:val="24"/>
        </w:rPr>
      </w:pPr>
      <w:r w:rsidRPr="00501223">
        <w:rPr>
          <w:rFonts w:ascii="Bookman Old Style" w:hAnsi="Bookman Old Style"/>
          <w:sz w:val="24"/>
          <w:szCs w:val="24"/>
        </w:rPr>
        <w:t>Thus, these countries compete more favorably in the international market-place compared to their counterparts which do not or whose incentives policies are weak and unstable. The following countries provide examples of economy-boosting export incentives that Nigeria can emulate:</w:t>
      </w:r>
    </w:p>
    <w:p w14:paraId="325784EF" w14:textId="77777777" w:rsidR="009930A9" w:rsidRPr="00501223" w:rsidRDefault="009930A9" w:rsidP="00493D7A">
      <w:pPr>
        <w:pStyle w:val="NoSpacing"/>
        <w:suppressAutoHyphens/>
        <w:jc w:val="both"/>
        <w:rPr>
          <w:rFonts w:ascii="Bookman Old Style" w:eastAsia="Arial" w:hAnsi="Bookman Old Style" w:cs="Arial"/>
          <w:sz w:val="24"/>
          <w:szCs w:val="24"/>
        </w:rPr>
      </w:pPr>
    </w:p>
    <w:p w14:paraId="39145611" w14:textId="77777777" w:rsidR="00493D7A" w:rsidRPr="00DC225C" w:rsidRDefault="00493D7A" w:rsidP="00493D7A">
      <w:pPr>
        <w:pStyle w:val="NoSpacing"/>
        <w:numPr>
          <w:ilvl w:val="0"/>
          <w:numId w:val="14"/>
        </w:numPr>
        <w:suppressAutoHyphens/>
        <w:jc w:val="both"/>
        <w:rPr>
          <w:rFonts w:ascii="Bookman Old Style" w:eastAsia="Arial" w:hAnsi="Bookman Old Style" w:cs="Arial"/>
          <w:b/>
          <w:bCs/>
          <w:sz w:val="24"/>
          <w:szCs w:val="24"/>
        </w:rPr>
      </w:pPr>
      <w:r w:rsidRPr="00DC225C">
        <w:rPr>
          <w:rFonts w:ascii="Bookman Old Style" w:hAnsi="Bookman Old Style"/>
          <w:b/>
          <w:bCs/>
          <w:sz w:val="24"/>
          <w:szCs w:val="24"/>
        </w:rPr>
        <w:t>China</w:t>
      </w:r>
    </w:p>
    <w:p w14:paraId="5C369F11" w14:textId="77777777" w:rsidR="00493D7A" w:rsidRPr="00501223" w:rsidRDefault="00493D7A" w:rsidP="00493D7A">
      <w:pPr>
        <w:pStyle w:val="NoSpacing"/>
        <w:suppressAutoHyphens/>
        <w:ind w:left="720"/>
        <w:jc w:val="both"/>
        <w:rPr>
          <w:rFonts w:ascii="Bookman Old Style" w:eastAsia="Arial" w:hAnsi="Bookman Old Style" w:cs="Arial"/>
          <w:sz w:val="24"/>
          <w:szCs w:val="24"/>
        </w:rPr>
      </w:pPr>
      <w:r w:rsidRPr="00501223">
        <w:rPr>
          <w:rFonts w:ascii="Bookman Old Style" w:hAnsi="Bookman Old Style"/>
          <w:sz w:val="24"/>
          <w:szCs w:val="24"/>
        </w:rPr>
        <w:t>Based on the 2006 WTO report, China introduced an elaborate package of incentives to attract Foreign Direct Investments (FDI) and boost exports. Over 50 types of subsidies were notified to WTO. These include:</w:t>
      </w:r>
    </w:p>
    <w:p w14:paraId="368147A9" w14:textId="77777777" w:rsidR="00493D7A" w:rsidRPr="00501223" w:rsidRDefault="00493D7A" w:rsidP="00493D7A">
      <w:pPr>
        <w:pStyle w:val="BodyA"/>
        <w:numPr>
          <w:ilvl w:val="0"/>
          <w:numId w:val="16"/>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Export tax rebate of up to 27%</w:t>
      </w:r>
    </w:p>
    <w:p w14:paraId="18A6FB3C" w14:textId="77777777" w:rsidR="00493D7A" w:rsidRPr="00501223" w:rsidRDefault="00493D7A" w:rsidP="00493D7A">
      <w:pPr>
        <w:pStyle w:val="BodyA"/>
        <w:numPr>
          <w:ilvl w:val="0"/>
          <w:numId w:val="16"/>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Tax holiday up to 5-10 years</w:t>
      </w:r>
    </w:p>
    <w:p w14:paraId="5900E24B" w14:textId="77777777" w:rsidR="00493D7A" w:rsidRPr="00501223" w:rsidRDefault="00493D7A" w:rsidP="00493D7A">
      <w:pPr>
        <w:pStyle w:val="BodyA"/>
        <w:numPr>
          <w:ilvl w:val="0"/>
          <w:numId w:val="16"/>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Exchange rate favorable to exporters</w:t>
      </w:r>
    </w:p>
    <w:p w14:paraId="11F64B9D" w14:textId="77777777" w:rsidR="00493D7A" w:rsidRPr="00501223" w:rsidRDefault="00493D7A" w:rsidP="00493D7A">
      <w:pPr>
        <w:pStyle w:val="BodyA"/>
        <w:numPr>
          <w:ilvl w:val="0"/>
          <w:numId w:val="16"/>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Top class infrastructure (power, roads, ports) and enabling environment</w:t>
      </w:r>
    </w:p>
    <w:p w14:paraId="30BF7CE2" w14:textId="77777777" w:rsidR="00493D7A" w:rsidRPr="00501223" w:rsidRDefault="00493D7A" w:rsidP="00493D7A">
      <w:pPr>
        <w:pStyle w:val="BodyA"/>
        <w:numPr>
          <w:ilvl w:val="0"/>
          <w:numId w:val="16"/>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Incentives to Chinese companies who invest in export markets</w:t>
      </w:r>
    </w:p>
    <w:p w14:paraId="3D26C271" w14:textId="77777777" w:rsidR="00493D7A" w:rsidRPr="00501223" w:rsidRDefault="00493D7A" w:rsidP="00493D7A">
      <w:pPr>
        <w:pStyle w:val="BodyA"/>
        <w:numPr>
          <w:ilvl w:val="0"/>
          <w:numId w:val="16"/>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Consistent policy reviewed on 5 years basis</w:t>
      </w:r>
    </w:p>
    <w:p w14:paraId="12FE48D0" w14:textId="77777777" w:rsidR="00493D7A" w:rsidRPr="00501223" w:rsidRDefault="00493D7A" w:rsidP="00493D7A">
      <w:pPr>
        <w:pStyle w:val="NoSpacing"/>
        <w:suppressAutoHyphens/>
        <w:jc w:val="both"/>
        <w:rPr>
          <w:rFonts w:ascii="Bookman Old Style" w:eastAsia="Arial" w:hAnsi="Bookman Old Style" w:cs="Arial"/>
          <w:sz w:val="8"/>
          <w:szCs w:val="8"/>
        </w:rPr>
      </w:pPr>
    </w:p>
    <w:p w14:paraId="5AB01340" w14:textId="75127FB6" w:rsidR="00493D7A" w:rsidRPr="00DC225C" w:rsidRDefault="00493D7A" w:rsidP="00DC225C">
      <w:pPr>
        <w:pStyle w:val="NoSpacing"/>
        <w:suppressAutoHyphens/>
        <w:jc w:val="both"/>
        <w:rPr>
          <w:rFonts w:ascii="Bookman Old Style" w:eastAsia="Arial" w:hAnsi="Bookman Old Style" w:cs="Arial"/>
          <w:sz w:val="24"/>
          <w:szCs w:val="24"/>
        </w:rPr>
      </w:pPr>
      <w:r w:rsidRPr="00501223">
        <w:rPr>
          <w:rFonts w:ascii="Bookman Old Style" w:hAnsi="Bookman Old Style"/>
          <w:sz w:val="24"/>
          <w:szCs w:val="24"/>
        </w:rPr>
        <w:t>China became the world’s largest export nation with exports of US$ 1.6 trillion in 2010 and has remained so till date with exports of US$2.252.</w:t>
      </w:r>
    </w:p>
    <w:p w14:paraId="2FDF6A13" w14:textId="77777777" w:rsidR="00493D7A" w:rsidRPr="00DC225C" w:rsidRDefault="00493D7A" w:rsidP="00DC225C">
      <w:pPr>
        <w:pStyle w:val="NoSpacing"/>
        <w:numPr>
          <w:ilvl w:val="0"/>
          <w:numId w:val="17"/>
        </w:numPr>
        <w:suppressAutoHyphens/>
        <w:spacing w:after="0"/>
        <w:jc w:val="both"/>
        <w:rPr>
          <w:rFonts w:ascii="Bookman Old Style" w:eastAsia="Arial" w:hAnsi="Bookman Old Style" w:cs="Arial"/>
          <w:b/>
          <w:bCs/>
          <w:sz w:val="24"/>
          <w:szCs w:val="24"/>
        </w:rPr>
      </w:pPr>
      <w:r w:rsidRPr="00DC225C">
        <w:rPr>
          <w:rFonts w:ascii="Bookman Old Style" w:hAnsi="Bookman Old Style"/>
          <w:b/>
          <w:bCs/>
          <w:sz w:val="24"/>
          <w:szCs w:val="24"/>
        </w:rPr>
        <w:t>The United States of America</w:t>
      </w:r>
    </w:p>
    <w:p w14:paraId="28F51CFE" w14:textId="77777777" w:rsidR="00493D7A" w:rsidRPr="00501223" w:rsidRDefault="00493D7A" w:rsidP="00493D7A">
      <w:pPr>
        <w:pStyle w:val="NoSpacing"/>
        <w:suppressAutoHyphens/>
        <w:ind w:left="720"/>
        <w:jc w:val="both"/>
        <w:rPr>
          <w:rFonts w:ascii="Bookman Old Style" w:eastAsia="Arial" w:hAnsi="Bookman Old Style" w:cs="Arial"/>
          <w:sz w:val="24"/>
          <w:szCs w:val="24"/>
        </w:rPr>
      </w:pPr>
      <w:r w:rsidRPr="00501223">
        <w:rPr>
          <w:rFonts w:ascii="Bookman Old Style" w:hAnsi="Bookman Old Style"/>
          <w:sz w:val="24"/>
          <w:szCs w:val="24"/>
        </w:rPr>
        <w:t xml:space="preserve">On January 20th, 2009 when the Obama administration was inaugurated into office, United States of America was just recovering from the economic and financial crisis that led to the loss of millions of U.S. jobs. The situation was similar then, to the present day Nigeria where the fall in oil price and corruption has impacted negatively on the economy leading to the loss of millions of Nigerian’s job, increased unemployment and endemic poverty. Like the current administration in Nigeria, the Obama’s administration had made job creation in the </w:t>
      </w:r>
      <w:r w:rsidRPr="00501223">
        <w:rPr>
          <w:rFonts w:ascii="Bookman Old Style" w:hAnsi="Bookman Old Style"/>
          <w:sz w:val="24"/>
          <w:szCs w:val="24"/>
        </w:rPr>
        <w:lastRenderedPageBreak/>
        <w:t xml:space="preserve">United States and a return to sustainable economic growth it’s topmost priority. </w:t>
      </w:r>
    </w:p>
    <w:p w14:paraId="5E65F7B1" w14:textId="77777777" w:rsidR="00493D7A" w:rsidRPr="00501223" w:rsidRDefault="00493D7A" w:rsidP="00493D7A">
      <w:pPr>
        <w:pStyle w:val="NoSpacing"/>
        <w:suppressAutoHyphens/>
        <w:ind w:left="720"/>
        <w:jc w:val="both"/>
        <w:rPr>
          <w:rFonts w:ascii="Bookman Old Style" w:eastAsia="Arial" w:hAnsi="Bookman Old Style" w:cs="Arial"/>
          <w:sz w:val="24"/>
          <w:szCs w:val="24"/>
        </w:rPr>
      </w:pPr>
      <w:r w:rsidRPr="00501223">
        <w:rPr>
          <w:rFonts w:ascii="Bookman Old Style" w:hAnsi="Bookman Old Style"/>
          <w:sz w:val="24"/>
          <w:szCs w:val="24"/>
        </w:rPr>
        <w:t xml:space="preserve">Recognizing the role of strengthened and sustained export development in achieving its objectives, the Obama’s administration, through the Executive Order 13534 of March 11, 2010, launched the US National Export Initiative (NEI) with the goal of doubling exports over the next five years. </w:t>
      </w:r>
    </w:p>
    <w:p w14:paraId="08DC1CB8" w14:textId="77777777" w:rsidR="00493D7A" w:rsidRPr="00501223" w:rsidRDefault="00493D7A" w:rsidP="00493D7A">
      <w:pPr>
        <w:pStyle w:val="NoSpacing"/>
        <w:suppressAutoHyphens/>
        <w:ind w:left="720"/>
        <w:jc w:val="both"/>
        <w:rPr>
          <w:rFonts w:ascii="Bookman Old Style" w:eastAsia="Arial" w:hAnsi="Bookman Old Style" w:cs="Arial"/>
          <w:sz w:val="24"/>
          <w:szCs w:val="24"/>
        </w:rPr>
      </w:pPr>
      <w:r w:rsidRPr="00501223">
        <w:rPr>
          <w:rFonts w:ascii="Bookman Old Style" w:hAnsi="Bookman Old Style"/>
          <w:sz w:val="24"/>
          <w:szCs w:val="24"/>
        </w:rPr>
        <w:t xml:space="preserve">The NEI was driven by the Cabinet Export Promotion Committee which reported directly to the President. Amongst other things, the NEI supported Exports by Small and Medium-Sized Enterprises (SMEs) through incentives, Federal Export Assistance, Trade Missions, Commercial Advocacy, Increasing Export Credit, Reducing Barriers to Trade and Export Promotion of Services. </w:t>
      </w:r>
    </w:p>
    <w:p w14:paraId="4A521FD8" w14:textId="79C6FD4A" w:rsidR="00493D7A" w:rsidRPr="00DC225C" w:rsidRDefault="00493D7A" w:rsidP="00DC225C">
      <w:pPr>
        <w:pStyle w:val="NoSpacing"/>
        <w:suppressAutoHyphens/>
        <w:ind w:left="720"/>
        <w:jc w:val="both"/>
        <w:rPr>
          <w:rFonts w:ascii="Bookman Old Style" w:eastAsia="Arial" w:hAnsi="Bookman Old Style" w:cs="Arial"/>
          <w:sz w:val="24"/>
          <w:szCs w:val="24"/>
        </w:rPr>
      </w:pPr>
      <w:r w:rsidRPr="00501223">
        <w:rPr>
          <w:rFonts w:ascii="Bookman Old Style" w:hAnsi="Bookman Old Style"/>
          <w:sz w:val="24"/>
          <w:szCs w:val="24"/>
        </w:rPr>
        <w:t>Consequently, America’s export of goods and services grew astronomically such that in 2012, U.S. exports hit an all-time record of $2.2 trillion and supported 9.8 million jobs. Today, US is the third largest exporting country in the world. Nigeria and consequently, President Muhammadu Buhari’s administration, may wish to take a cue from the United States to develop a Presidential initiative focused on non-oil export.</w:t>
      </w:r>
    </w:p>
    <w:p w14:paraId="4B9C77B6" w14:textId="77777777" w:rsidR="00493D7A" w:rsidRPr="00DC225C" w:rsidRDefault="00493D7A" w:rsidP="00DC225C">
      <w:pPr>
        <w:pStyle w:val="NoSpacing"/>
        <w:numPr>
          <w:ilvl w:val="0"/>
          <w:numId w:val="14"/>
        </w:numPr>
        <w:suppressAutoHyphens/>
        <w:spacing w:after="0"/>
        <w:jc w:val="both"/>
        <w:rPr>
          <w:rFonts w:ascii="Bookman Old Style" w:eastAsia="Arial" w:hAnsi="Bookman Old Style" w:cs="Arial"/>
          <w:b/>
          <w:bCs/>
          <w:sz w:val="24"/>
          <w:szCs w:val="24"/>
        </w:rPr>
      </w:pPr>
      <w:r w:rsidRPr="00DC225C">
        <w:rPr>
          <w:rFonts w:ascii="Bookman Old Style" w:hAnsi="Bookman Old Style"/>
          <w:b/>
          <w:bCs/>
          <w:sz w:val="24"/>
          <w:szCs w:val="24"/>
        </w:rPr>
        <w:t>Singapore</w:t>
      </w:r>
    </w:p>
    <w:p w14:paraId="4CA95D94" w14:textId="77777777" w:rsidR="00493D7A" w:rsidRPr="00501223" w:rsidRDefault="00493D7A" w:rsidP="00493D7A">
      <w:pPr>
        <w:pStyle w:val="NoSpacing"/>
        <w:suppressAutoHyphens/>
        <w:ind w:left="720"/>
        <w:jc w:val="both"/>
        <w:rPr>
          <w:rFonts w:ascii="Bookman Old Style" w:eastAsia="Arial" w:hAnsi="Bookman Old Style" w:cs="Arial"/>
          <w:sz w:val="24"/>
          <w:szCs w:val="24"/>
        </w:rPr>
      </w:pPr>
      <w:r w:rsidRPr="00501223">
        <w:rPr>
          <w:rFonts w:ascii="Bookman Old Style" w:hAnsi="Bookman Old Style"/>
          <w:sz w:val="24"/>
          <w:szCs w:val="24"/>
        </w:rPr>
        <w:t xml:space="preserve">Singapore is ranked Number One globally in the World Bank Ease of Doing Business scale and the 14th highest exporting country in the world. An analysis of Singapore’s Export Promotion Strategy and Economic Growth (1965-84) shows that Singapore rolled out a basket of export and investment incentives that propelled their current status. </w:t>
      </w:r>
    </w:p>
    <w:p w14:paraId="1877D627" w14:textId="77777777" w:rsidR="00493D7A" w:rsidRPr="00501223" w:rsidRDefault="00493D7A" w:rsidP="00493D7A">
      <w:pPr>
        <w:pStyle w:val="NoSpacing"/>
        <w:suppressAutoHyphens/>
        <w:ind w:left="720"/>
        <w:jc w:val="both"/>
        <w:rPr>
          <w:rFonts w:ascii="Bookman Old Style" w:eastAsia="Arial" w:hAnsi="Bookman Old Style" w:cs="Arial"/>
          <w:sz w:val="24"/>
          <w:szCs w:val="24"/>
        </w:rPr>
      </w:pPr>
      <w:r w:rsidRPr="00501223">
        <w:rPr>
          <w:rFonts w:ascii="Bookman Old Style" w:hAnsi="Bookman Old Style"/>
          <w:sz w:val="24"/>
          <w:szCs w:val="24"/>
        </w:rPr>
        <w:t xml:space="preserve">In the first instance, new industries which qualified for ‘pioneer’ status were exempted from the 40% profits tax for a period of five, ten, or more years. Then, under the Industrial Expansion Ordinance No.2, income taxes were reduced for firms that expanded in order to produce approved export products. Thirdly, to induce investment and expansion of export-oriented industries, export incentives, introduced in 1967, provided a 90% tax exemption for 5-15 years for export profits derived from sufficient large investments. </w:t>
      </w:r>
    </w:p>
    <w:p w14:paraId="485F5269" w14:textId="77777777" w:rsidR="00493D7A" w:rsidRPr="00501223" w:rsidRDefault="00493D7A" w:rsidP="00493D7A">
      <w:pPr>
        <w:pStyle w:val="NoSpacing"/>
        <w:suppressAutoHyphens/>
        <w:ind w:left="720"/>
        <w:jc w:val="both"/>
        <w:rPr>
          <w:rFonts w:ascii="Bookman Old Style" w:eastAsia="Arial" w:hAnsi="Bookman Old Style" w:cs="Arial"/>
        </w:rPr>
      </w:pPr>
      <w:r w:rsidRPr="00501223">
        <w:rPr>
          <w:rFonts w:ascii="Bookman Old Style" w:hAnsi="Bookman Old Style"/>
          <w:sz w:val="24"/>
          <w:szCs w:val="24"/>
        </w:rPr>
        <w:t>Currently, Singapore exporters enjoy varied export incentives such as the new tax incentive, the International Growth Scheme; the Double Tax Deduction for   Internationalization scheme; and the funding support for SMEs using trade agency IE Singapore's grant schemes amongst others. These incentives are at the epicenter of Singapore’s dominance in global export.</w:t>
      </w:r>
    </w:p>
    <w:p w14:paraId="0BE9617C" w14:textId="77777777" w:rsidR="00493D7A" w:rsidRPr="00DC225C" w:rsidRDefault="00493D7A" w:rsidP="00DC225C">
      <w:pPr>
        <w:pStyle w:val="NoSpacing"/>
        <w:numPr>
          <w:ilvl w:val="0"/>
          <w:numId w:val="19"/>
        </w:numPr>
        <w:suppressAutoHyphens/>
        <w:spacing w:after="0"/>
        <w:jc w:val="both"/>
        <w:rPr>
          <w:rFonts w:ascii="Bookman Old Style" w:eastAsia="Arial" w:hAnsi="Bookman Old Style" w:cs="Arial"/>
          <w:b/>
          <w:bCs/>
          <w:sz w:val="24"/>
          <w:szCs w:val="24"/>
        </w:rPr>
      </w:pPr>
      <w:r w:rsidRPr="00DC225C">
        <w:rPr>
          <w:rFonts w:ascii="Bookman Old Style" w:hAnsi="Bookman Old Style"/>
          <w:b/>
          <w:bCs/>
          <w:sz w:val="24"/>
          <w:szCs w:val="24"/>
        </w:rPr>
        <w:t xml:space="preserve">India </w:t>
      </w:r>
    </w:p>
    <w:p w14:paraId="134D95A3" w14:textId="77777777" w:rsidR="00493D7A" w:rsidRPr="00501223" w:rsidRDefault="00493D7A" w:rsidP="00493D7A">
      <w:pPr>
        <w:pStyle w:val="NoSpacing"/>
        <w:suppressAutoHyphens/>
        <w:ind w:left="720"/>
        <w:jc w:val="both"/>
        <w:rPr>
          <w:rFonts w:ascii="Bookman Old Style" w:eastAsia="Arial" w:hAnsi="Bookman Old Style" w:cs="Arial"/>
          <w:sz w:val="24"/>
          <w:szCs w:val="24"/>
        </w:rPr>
      </w:pPr>
      <w:r w:rsidRPr="00501223">
        <w:rPr>
          <w:rFonts w:ascii="Bookman Old Style" w:hAnsi="Bookman Old Style"/>
          <w:sz w:val="24"/>
          <w:szCs w:val="24"/>
        </w:rPr>
        <w:lastRenderedPageBreak/>
        <w:t>India, from 2006, had aimed to double her exports in three years. As such, her Foreign Trade Policy was developed to provide a package of incentives for exporters viz:</w:t>
      </w:r>
    </w:p>
    <w:p w14:paraId="22723B8C" w14:textId="77777777" w:rsidR="00493D7A" w:rsidRPr="00501223" w:rsidRDefault="00493D7A" w:rsidP="00493D7A">
      <w:pPr>
        <w:pStyle w:val="BodyA"/>
        <w:numPr>
          <w:ilvl w:val="0"/>
          <w:numId w:val="16"/>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Duty draw back (DEPB) scheme to refund all taxes and duties on exports</w:t>
      </w:r>
    </w:p>
    <w:p w14:paraId="13633F95" w14:textId="77777777" w:rsidR="00493D7A" w:rsidRPr="00501223" w:rsidRDefault="00493D7A" w:rsidP="00493D7A">
      <w:pPr>
        <w:pStyle w:val="BodyA"/>
        <w:numPr>
          <w:ilvl w:val="0"/>
          <w:numId w:val="16"/>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Concessional export credit at 3% subsidy</w:t>
      </w:r>
    </w:p>
    <w:p w14:paraId="618AE2CF" w14:textId="77777777" w:rsidR="00493D7A" w:rsidRPr="00501223" w:rsidRDefault="00493D7A" w:rsidP="00493D7A">
      <w:pPr>
        <w:pStyle w:val="BodyA"/>
        <w:numPr>
          <w:ilvl w:val="0"/>
          <w:numId w:val="16"/>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Tax holidays up to 10 years in SEZ</w:t>
      </w:r>
    </w:p>
    <w:p w14:paraId="282C1B6F" w14:textId="77777777" w:rsidR="00493D7A" w:rsidRPr="00501223" w:rsidRDefault="00493D7A" w:rsidP="00493D7A">
      <w:pPr>
        <w:pStyle w:val="BodyA"/>
        <w:numPr>
          <w:ilvl w:val="0"/>
          <w:numId w:val="16"/>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Focus product &amp; Focus market scheme to offer higher incentives for    specific products</w:t>
      </w:r>
    </w:p>
    <w:p w14:paraId="3F252AF2" w14:textId="77777777" w:rsidR="00493D7A" w:rsidRPr="00501223" w:rsidRDefault="00493D7A" w:rsidP="00493D7A">
      <w:pPr>
        <w:pStyle w:val="BodyA"/>
        <w:numPr>
          <w:ilvl w:val="0"/>
          <w:numId w:val="16"/>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Sectorial incentives to labour intensive industries such as textile and leather</w:t>
      </w:r>
    </w:p>
    <w:p w14:paraId="1EAAB5DE" w14:textId="4817016E" w:rsidR="00493D7A" w:rsidRPr="00376181" w:rsidRDefault="00493D7A" w:rsidP="00493D7A">
      <w:pPr>
        <w:pStyle w:val="BodyA"/>
        <w:numPr>
          <w:ilvl w:val="0"/>
          <w:numId w:val="16"/>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Consistent policy reviewed on 5 year basis</w:t>
      </w:r>
    </w:p>
    <w:p w14:paraId="771AD151" w14:textId="204D4972" w:rsidR="00493D7A" w:rsidRPr="00FE43AD" w:rsidRDefault="00493D7A" w:rsidP="00FE43AD">
      <w:pPr>
        <w:pStyle w:val="NoSpacing"/>
        <w:suppressAutoHyphens/>
        <w:jc w:val="both"/>
        <w:rPr>
          <w:rFonts w:ascii="Bookman Old Style" w:eastAsia="Arial" w:hAnsi="Bookman Old Style" w:cs="Arial"/>
          <w:sz w:val="24"/>
          <w:szCs w:val="24"/>
        </w:rPr>
      </w:pPr>
      <w:r w:rsidRPr="00501223">
        <w:rPr>
          <w:rFonts w:ascii="Bookman Old Style" w:hAnsi="Bookman Old Style"/>
          <w:sz w:val="24"/>
          <w:szCs w:val="24"/>
        </w:rPr>
        <w:t>India became the world’s 14th largest export nation with exports of US$ 220 billion in 2010 and currently stands at 19</w:t>
      </w:r>
      <w:r w:rsidRPr="00501223">
        <w:rPr>
          <w:rFonts w:ascii="Bookman Old Style" w:hAnsi="Bookman Old Style"/>
          <w:sz w:val="24"/>
          <w:szCs w:val="24"/>
          <w:vertAlign w:val="superscript"/>
        </w:rPr>
        <w:t>th</w:t>
      </w:r>
      <w:r w:rsidRPr="00501223">
        <w:rPr>
          <w:rFonts w:ascii="Bookman Old Style" w:hAnsi="Bookman Old Style"/>
          <w:sz w:val="24"/>
          <w:szCs w:val="24"/>
        </w:rPr>
        <w:t xml:space="preserve"> with export value of US$ 342.5.</w:t>
      </w:r>
    </w:p>
    <w:p w14:paraId="5ADD011E" w14:textId="77777777" w:rsidR="00493D7A" w:rsidRPr="00DC225C" w:rsidRDefault="00493D7A" w:rsidP="00DC225C">
      <w:pPr>
        <w:pStyle w:val="NoSpacing"/>
        <w:numPr>
          <w:ilvl w:val="0"/>
          <w:numId w:val="20"/>
        </w:numPr>
        <w:suppressAutoHyphens/>
        <w:spacing w:after="0"/>
        <w:jc w:val="both"/>
        <w:rPr>
          <w:rFonts w:ascii="Bookman Old Style" w:eastAsia="Arial" w:hAnsi="Bookman Old Style" w:cs="Arial"/>
          <w:b/>
          <w:bCs/>
          <w:sz w:val="24"/>
          <w:szCs w:val="24"/>
        </w:rPr>
      </w:pPr>
      <w:r w:rsidRPr="00DC225C">
        <w:rPr>
          <w:rFonts w:ascii="Bookman Old Style" w:hAnsi="Bookman Old Style"/>
          <w:b/>
          <w:bCs/>
          <w:sz w:val="24"/>
          <w:szCs w:val="24"/>
        </w:rPr>
        <w:t>Australia</w:t>
      </w:r>
    </w:p>
    <w:p w14:paraId="6B80BCEE" w14:textId="2138CFC7" w:rsidR="00493D7A" w:rsidRPr="00501223" w:rsidRDefault="00493D7A" w:rsidP="00493D7A">
      <w:pPr>
        <w:pStyle w:val="NoSpacing"/>
        <w:suppressAutoHyphens/>
        <w:ind w:left="720"/>
        <w:jc w:val="both"/>
        <w:rPr>
          <w:rFonts w:ascii="Bookman Old Style" w:eastAsia="Arial" w:hAnsi="Bookman Old Style" w:cs="Arial"/>
          <w:b/>
          <w:bCs/>
          <w:sz w:val="24"/>
          <w:szCs w:val="24"/>
        </w:rPr>
      </w:pPr>
      <w:r w:rsidRPr="00501223">
        <w:rPr>
          <w:rFonts w:ascii="Bookman Old Style" w:hAnsi="Bookman Old Style"/>
          <w:b/>
          <w:bCs/>
          <w:sz w:val="24"/>
          <w:szCs w:val="24"/>
        </w:rPr>
        <w:t>The Export Market D</w:t>
      </w:r>
      <w:r w:rsidR="00DC225C">
        <w:rPr>
          <w:rFonts w:ascii="Bookman Old Style" w:hAnsi="Bookman Old Style"/>
          <w:b/>
          <w:bCs/>
          <w:sz w:val="24"/>
          <w:szCs w:val="24"/>
        </w:rPr>
        <w:t>evelopment Grants (EMDG) Scheme</w:t>
      </w:r>
    </w:p>
    <w:p w14:paraId="677A7CEB" w14:textId="40A5B0CA" w:rsidR="00493D7A" w:rsidRPr="00DC225C" w:rsidRDefault="00493D7A" w:rsidP="00DC225C">
      <w:pPr>
        <w:pStyle w:val="NoSpacing"/>
        <w:suppressAutoHyphens/>
        <w:ind w:left="720"/>
        <w:jc w:val="both"/>
        <w:rPr>
          <w:rFonts w:ascii="Bookman Old Style" w:eastAsia="Arial" w:hAnsi="Bookman Old Style" w:cs="Arial"/>
          <w:sz w:val="24"/>
          <w:szCs w:val="24"/>
        </w:rPr>
      </w:pPr>
      <w:r w:rsidRPr="00501223">
        <w:rPr>
          <w:rFonts w:ascii="Bookman Old Style" w:hAnsi="Bookman Old Style"/>
          <w:sz w:val="24"/>
          <w:szCs w:val="24"/>
        </w:rPr>
        <w:t>This is a key Australian Government financial assistance program for aspiring and current exporters. The scheme, administered by Austrade, supports a wide range of industry sectors and products, including inbound tourism and the export of intellectual property and know-how outside Australia. The EMDG scheme encourages small and medium sized Australian businesses to develop export markets; reimburses up to 50% of eligible export promotion expenses above $5,000 provided that the total expenses are at least $15,000 and provides up to eight (8) grants to each eligible applicant. Australia, with exports estimated at USD250.8 billion, ranks as the 23rd highest exporter globally.</w:t>
      </w:r>
    </w:p>
    <w:p w14:paraId="6117437F" w14:textId="77777777" w:rsidR="00493D7A" w:rsidRPr="00DC225C" w:rsidRDefault="00493D7A" w:rsidP="00DC225C">
      <w:pPr>
        <w:pStyle w:val="NoSpacing"/>
        <w:numPr>
          <w:ilvl w:val="0"/>
          <w:numId w:val="22"/>
        </w:numPr>
        <w:suppressAutoHyphens/>
        <w:spacing w:after="0"/>
        <w:jc w:val="both"/>
        <w:rPr>
          <w:rFonts w:ascii="Bookman Old Style" w:eastAsia="Arial" w:hAnsi="Bookman Old Style" w:cs="Arial"/>
          <w:b/>
          <w:bCs/>
          <w:sz w:val="24"/>
          <w:szCs w:val="24"/>
        </w:rPr>
      </w:pPr>
      <w:r w:rsidRPr="00DC225C">
        <w:rPr>
          <w:rFonts w:ascii="Bookman Old Style" w:hAnsi="Bookman Old Style"/>
          <w:b/>
          <w:bCs/>
          <w:sz w:val="24"/>
          <w:szCs w:val="24"/>
        </w:rPr>
        <w:t>Ghana</w:t>
      </w:r>
    </w:p>
    <w:p w14:paraId="54855034" w14:textId="77777777" w:rsidR="00493D7A" w:rsidRPr="00501223" w:rsidRDefault="00493D7A" w:rsidP="00493D7A">
      <w:pPr>
        <w:pStyle w:val="NoSpacing"/>
        <w:suppressAutoHyphens/>
        <w:ind w:left="720"/>
        <w:jc w:val="both"/>
        <w:rPr>
          <w:rFonts w:ascii="Bookman Old Style" w:eastAsia="Arial" w:hAnsi="Bookman Old Style" w:cs="Arial"/>
          <w:sz w:val="24"/>
          <w:szCs w:val="24"/>
        </w:rPr>
      </w:pPr>
      <w:r w:rsidRPr="00501223">
        <w:rPr>
          <w:rFonts w:ascii="Bookman Old Style" w:hAnsi="Bookman Old Style"/>
          <w:sz w:val="24"/>
          <w:szCs w:val="24"/>
        </w:rPr>
        <w:t xml:space="preserve">Ghana is the 70th country globally in the World Bank 2015 Ease of Doing Business scale. The country has become an investment haven for many foreign companies which were hitherto based in Nigeria. In addition, many Nigeria indigenous companies have domiciled their operations in Ghana. </w:t>
      </w:r>
    </w:p>
    <w:p w14:paraId="1962B867" w14:textId="77777777" w:rsidR="00493D7A" w:rsidRPr="00501223" w:rsidRDefault="00493D7A" w:rsidP="00493D7A">
      <w:pPr>
        <w:pStyle w:val="NoSpacing"/>
        <w:suppressAutoHyphens/>
        <w:ind w:left="720"/>
        <w:jc w:val="both"/>
        <w:rPr>
          <w:rFonts w:ascii="Bookman Old Style" w:eastAsia="Arial" w:hAnsi="Bookman Old Style" w:cs="Arial"/>
          <w:sz w:val="24"/>
          <w:szCs w:val="24"/>
        </w:rPr>
      </w:pPr>
      <w:r w:rsidRPr="00501223">
        <w:rPr>
          <w:rFonts w:ascii="Bookman Old Style" w:hAnsi="Bookman Old Style"/>
          <w:sz w:val="24"/>
          <w:szCs w:val="24"/>
        </w:rPr>
        <w:t>The reason for this is not far-fetched. Apart from providing a conducive environment for businesses to thrive as measured by the Ease of Doing Business criteria, the Ghanaian Government supports non-oil exports through a basket of incentives given to Ghanaian exporters. For example, The Ghanaian Export Promotion Council in association with the Ministry of Trade and Industry offers many export incentives to Ghanaian exporters, such as:</w:t>
      </w:r>
    </w:p>
    <w:p w14:paraId="7B491544" w14:textId="77777777" w:rsidR="00493D7A" w:rsidRPr="00501223" w:rsidRDefault="00493D7A" w:rsidP="00493D7A">
      <w:pPr>
        <w:pStyle w:val="NoSpacing"/>
        <w:numPr>
          <w:ilvl w:val="0"/>
          <w:numId w:val="24"/>
        </w:numPr>
        <w:suppressAutoHyphens/>
        <w:jc w:val="both"/>
        <w:rPr>
          <w:rFonts w:ascii="Bookman Old Style" w:eastAsia="Arial" w:hAnsi="Bookman Old Style" w:cs="Arial"/>
          <w:sz w:val="24"/>
          <w:szCs w:val="24"/>
        </w:rPr>
      </w:pPr>
      <w:r w:rsidRPr="00501223">
        <w:rPr>
          <w:rFonts w:ascii="Bookman Old Style" w:hAnsi="Bookman Old Style"/>
          <w:b/>
          <w:bCs/>
          <w:sz w:val="24"/>
          <w:szCs w:val="24"/>
        </w:rPr>
        <w:lastRenderedPageBreak/>
        <w:t>Export Proceeds Retention Scheme</w:t>
      </w:r>
      <w:r w:rsidRPr="00501223">
        <w:rPr>
          <w:rFonts w:ascii="Bookman Old Style" w:hAnsi="Bookman Old Style"/>
          <w:sz w:val="24"/>
          <w:szCs w:val="24"/>
        </w:rPr>
        <w:t>: which allows exporters to exchange all (i.e. 100%) foreign exchange proceeds from non- traditional exports into cedis at competitive rates negotiated with the exporter's bankers or keep them in their   foreign exchange accounts.</w:t>
      </w:r>
    </w:p>
    <w:p w14:paraId="3DC1C757" w14:textId="77777777" w:rsidR="00493D7A" w:rsidRPr="00501223" w:rsidRDefault="00493D7A" w:rsidP="00493D7A">
      <w:pPr>
        <w:pStyle w:val="NoSpacing"/>
        <w:numPr>
          <w:ilvl w:val="0"/>
          <w:numId w:val="24"/>
        </w:numPr>
        <w:suppressAutoHyphens/>
        <w:jc w:val="both"/>
        <w:rPr>
          <w:rFonts w:ascii="Bookman Old Style" w:eastAsia="Arial" w:hAnsi="Bookman Old Style" w:cs="Arial"/>
          <w:sz w:val="24"/>
          <w:szCs w:val="24"/>
        </w:rPr>
      </w:pPr>
      <w:r w:rsidRPr="00501223">
        <w:rPr>
          <w:rFonts w:ascii="Bookman Old Style" w:hAnsi="Bookman Old Style"/>
          <w:b/>
          <w:bCs/>
          <w:sz w:val="24"/>
          <w:szCs w:val="24"/>
        </w:rPr>
        <w:t>Corporate Tax Rebate:</w:t>
      </w:r>
      <w:r w:rsidRPr="00501223">
        <w:rPr>
          <w:rFonts w:ascii="Bookman Old Style" w:hAnsi="Bookman Old Style"/>
          <w:sz w:val="24"/>
          <w:szCs w:val="24"/>
        </w:rPr>
        <w:t xml:space="preserve"> which allows any manufacturer or any person, engaged in agricultural production, exporting part or all of his production, to claim tax rebate between 40% and 75% of his tax liability</w:t>
      </w:r>
    </w:p>
    <w:p w14:paraId="4E093556" w14:textId="77777777" w:rsidR="00493D7A" w:rsidRPr="00501223" w:rsidRDefault="00493D7A" w:rsidP="00493D7A">
      <w:pPr>
        <w:pStyle w:val="NoSpacing"/>
        <w:numPr>
          <w:ilvl w:val="0"/>
          <w:numId w:val="24"/>
        </w:numPr>
        <w:suppressAutoHyphens/>
        <w:jc w:val="both"/>
        <w:rPr>
          <w:rFonts w:ascii="Bookman Old Style" w:eastAsia="Arial" w:hAnsi="Bookman Old Style" w:cs="Arial"/>
          <w:sz w:val="24"/>
          <w:szCs w:val="24"/>
        </w:rPr>
      </w:pPr>
      <w:r w:rsidRPr="00501223">
        <w:rPr>
          <w:rFonts w:ascii="Bookman Old Style" w:hAnsi="Bookman Old Style"/>
          <w:b/>
          <w:bCs/>
          <w:sz w:val="24"/>
          <w:szCs w:val="24"/>
        </w:rPr>
        <w:t>Custom Duty Drawback</w:t>
      </w:r>
      <w:r w:rsidRPr="00501223">
        <w:rPr>
          <w:rFonts w:ascii="Bookman Old Style" w:hAnsi="Bookman Old Style"/>
          <w:sz w:val="24"/>
          <w:szCs w:val="24"/>
        </w:rPr>
        <w:t>: This allows exporters to draw back up to 100% of duties paid on material imported to produce goods for export.</w:t>
      </w:r>
    </w:p>
    <w:p w14:paraId="52501130" w14:textId="77777777" w:rsidR="00493D7A" w:rsidRPr="00501223" w:rsidRDefault="00493D7A" w:rsidP="00493D7A">
      <w:pPr>
        <w:pStyle w:val="NoSpacing"/>
        <w:numPr>
          <w:ilvl w:val="0"/>
          <w:numId w:val="24"/>
        </w:numPr>
        <w:suppressAutoHyphens/>
        <w:jc w:val="both"/>
        <w:rPr>
          <w:rFonts w:ascii="Bookman Old Style" w:eastAsia="Arial" w:hAnsi="Bookman Old Style" w:cs="Arial"/>
          <w:sz w:val="24"/>
          <w:szCs w:val="24"/>
        </w:rPr>
      </w:pPr>
      <w:r w:rsidRPr="00501223">
        <w:rPr>
          <w:rFonts w:ascii="Bookman Old Style" w:hAnsi="Bookman Old Style"/>
          <w:b/>
          <w:bCs/>
          <w:sz w:val="24"/>
          <w:szCs w:val="24"/>
        </w:rPr>
        <w:t>Bonded Warehousing:</w:t>
      </w:r>
      <w:r w:rsidRPr="00501223">
        <w:rPr>
          <w:rFonts w:ascii="Bookman Old Style" w:hAnsi="Bookman Old Style"/>
          <w:sz w:val="24"/>
          <w:szCs w:val="24"/>
        </w:rPr>
        <w:t xml:space="preserve"> That allows manufacturers to seek Customs license to hold imported raw materials intended for manufacturing for export in secured places without payment of duty.</w:t>
      </w:r>
    </w:p>
    <w:p w14:paraId="64B03C52" w14:textId="77777777" w:rsidR="00493D7A" w:rsidRPr="00501223" w:rsidRDefault="00493D7A" w:rsidP="00493D7A">
      <w:pPr>
        <w:pStyle w:val="NoSpacing"/>
        <w:numPr>
          <w:ilvl w:val="0"/>
          <w:numId w:val="24"/>
        </w:numPr>
        <w:suppressAutoHyphens/>
        <w:jc w:val="both"/>
        <w:rPr>
          <w:rFonts w:ascii="Bookman Old Style" w:eastAsia="Arial" w:hAnsi="Bookman Old Style" w:cs="Arial"/>
          <w:sz w:val="24"/>
          <w:szCs w:val="24"/>
        </w:rPr>
      </w:pPr>
      <w:r w:rsidRPr="00501223">
        <w:rPr>
          <w:rFonts w:ascii="Bookman Old Style" w:hAnsi="Bookman Old Style"/>
          <w:b/>
          <w:bCs/>
          <w:sz w:val="24"/>
          <w:szCs w:val="24"/>
        </w:rPr>
        <w:t>Up-Front Duty Exemption</w:t>
      </w:r>
      <w:r w:rsidRPr="00501223">
        <w:rPr>
          <w:rFonts w:ascii="Bookman Old Style" w:hAnsi="Bookman Old Style"/>
          <w:sz w:val="24"/>
          <w:szCs w:val="24"/>
        </w:rPr>
        <w:t>: This operates alongside the duty drawback system and enables exporters enjoy 100% duty exemption on imports intended to go into production for export.</w:t>
      </w:r>
    </w:p>
    <w:p w14:paraId="20907DB8" w14:textId="4FB4458C" w:rsidR="00493D7A" w:rsidRPr="009930A9" w:rsidRDefault="00493D7A" w:rsidP="009930A9">
      <w:pPr>
        <w:pStyle w:val="NoSpacing"/>
        <w:suppressAutoHyphens/>
        <w:ind w:left="357"/>
        <w:jc w:val="both"/>
        <w:rPr>
          <w:rFonts w:ascii="Bookman Old Style" w:eastAsia="Arial" w:hAnsi="Bookman Old Style" w:cs="Arial"/>
          <w:sz w:val="24"/>
          <w:szCs w:val="24"/>
        </w:rPr>
      </w:pPr>
      <w:r w:rsidRPr="00501223">
        <w:rPr>
          <w:rFonts w:ascii="Bookman Old Style" w:hAnsi="Bookman Old Style"/>
          <w:sz w:val="24"/>
          <w:szCs w:val="24"/>
        </w:rPr>
        <w:t>These incentives have been instrumental in enhancing Ghana’s non-oil export competitiveness when compared to Nigeria</w:t>
      </w:r>
    </w:p>
    <w:p w14:paraId="6233B7EF" w14:textId="77777777" w:rsidR="00493D7A" w:rsidRPr="00DC225C" w:rsidRDefault="00493D7A" w:rsidP="00DC225C">
      <w:pPr>
        <w:pStyle w:val="NoSpacing"/>
        <w:numPr>
          <w:ilvl w:val="0"/>
          <w:numId w:val="25"/>
        </w:numPr>
        <w:suppressAutoHyphens/>
        <w:spacing w:after="0"/>
        <w:jc w:val="both"/>
        <w:rPr>
          <w:rFonts w:ascii="Bookman Old Style" w:eastAsia="Arial" w:hAnsi="Bookman Old Style" w:cs="Arial"/>
          <w:b/>
          <w:bCs/>
          <w:sz w:val="24"/>
          <w:szCs w:val="24"/>
        </w:rPr>
      </w:pPr>
      <w:r w:rsidRPr="00DC225C">
        <w:rPr>
          <w:rFonts w:ascii="Bookman Old Style" w:hAnsi="Bookman Old Style"/>
          <w:b/>
          <w:bCs/>
          <w:sz w:val="24"/>
          <w:szCs w:val="24"/>
        </w:rPr>
        <w:t>Uganda</w:t>
      </w:r>
    </w:p>
    <w:p w14:paraId="75243F96" w14:textId="77777777" w:rsidR="00493D7A" w:rsidRPr="00501223" w:rsidRDefault="00493D7A" w:rsidP="00493D7A">
      <w:pPr>
        <w:pStyle w:val="NoSpacing"/>
        <w:suppressAutoHyphens/>
        <w:ind w:left="357"/>
        <w:jc w:val="both"/>
        <w:rPr>
          <w:rFonts w:ascii="Bookman Old Style" w:eastAsia="Arial" w:hAnsi="Bookman Old Style" w:cs="Arial"/>
          <w:sz w:val="24"/>
          <w:szCs w:val="24"/>
        </w:rPr>
      </w:pPr>
      <w:r w:rsidRPr="00501223">
        <w:rPr>
          <w:rFonts w:ascii="Bookman Old Style" w:hAnsi="Bookman Old Style"/>
          <w:sz w:val="24"/>
          <w:szCs w:val="24"/>
        </w:rPr>
        <w:t>Although Uganda is 150</w:t>
      </w:r>
      <w:r w:rsidRPr="00501223">
        <w:rPr>
          <w:rFonts w:ascii="Bookman Old Style" w:hAnsi="Bookman Old Style"/>
          <w:sz w:val="24"/>
          <w:szCs w:val="24"/>
          <w:vertAlign w:val="superscript"/>
        </w:rPr>
        <w:t>th</w:t>
      </w:r>
      <w:r w:rsidRPr="00501223">
        <w:rPr>
          <w:rFonts w:ascii="Bookman Old Style" w:hAnsi="Bookman Old Style"/>
          <w:sz w:val="24"/>
          <w:szCs w:val="24"/>
        </w:rPr>
        <w:t xml:space="preserve"> in the Ease of Doing Business ranking, Ugandan non-oil exporters are competing favorably in the global export market riding on the Government’s export incentives. The objective of the Ugandan Government export incentives is to compensate exporters for the infrastructural inadequacies and the cost of bureaucratic inertia that affect the ease of doing business and impact negatively on production cost. </w:t>
      </w:r>
    </w:p>
    <w:p w14:paraId="0AA84FB0" w14:textId="77777777" w:rsidR="00493D7A" w:rsidRPr="00501223" w:rsidRDefault="00493D7A" w:rsidP="00493D7A">
      <w:pPr>
        <w:pStyle w:val="NoSpacing"/>
        <w:suppressAutoHyphens/>
        <w:ind w:left="357"/>
        <w:jc w:val="both"/>
        <w:rPr>
          <w:rFonts w:ascii="Bookman Old Style" w:eastAsia="Arial" w:hAnsi="Bookman Old Style" w:cs="Arial"/>
          <w:sz w:val="24"/>
          <w:szCs w:val="24"/>
        </w:rPr>
      </w:pPr>
      <w:r w:rsidRPr="00501223">
        <w:rPr>
          <w:rFonts w:ascii="Bookman Old Style" w:hAnsi="Bookman Old Style"/>
          <w:sz w:val="24"/>
          <w:szCs w:val="24"/>
        </w:rPr>
        <w:t>The incentives are also intended to level the playing field as much as possible to render Uganda's exports competitive. Currently the following incentives are operational in Uganda;</w:t>
      </w:r>
    </w:p>
    <w:p w14:paraId="7605BF84" w14:textId="77777777" w:rsidR="00493D7A" w:rsidRPr="00501223" w:rsidRDefault="00493D7A" w:rsidP="00493D7A">
      <w:pPr>
        <w:pStyle w:val="NoSpacing"/>
        <w:numPr>
          <w:ilvl w:val="0"/>
          <w:numId w:val="27"/>
        </w:numPr>
        <w:suppressAutoHyphens/>
        <w:jc w:val="both"/>
        <w:rPr>
          <w:rFonts w:ascii="Bookman Old Style" w:eastAsia="Arial" w:hAnsi="Bookman Old Style" w:cs="Arial"/>
          <w:b/>
          <w:bCs/>
          <w:sz w:val="24"/>
          <w:szCs w:val="24"/>
        </w:rPr>
      </w:pPr>
      <w:r w:rsidRPr="00501223">
        <w:rPr>
          <w:rFonts w:ascii="Bookman Old Style" w:hAnsi="Bookman Old Style"/>
          <w:b/>
          <w:bCs/>
          <w:sz w:val="24"/>
          <w:szCs w:val="24"/>
        </w:rPr>
        <w:t xml:space="preserve">Foreign Exchange Liberalization: </w:t>
      </w:r>
      <w:r w:rsidRPr="00501223">
        <w:rPr>
          <w:rFonts w:ascii="Bookman Old Style" w:hAnsi="Bookman Old Style"/>
          <w:sz w:val="24"/>
          <w:szCs w:val="24"/>
        </w:rPr>
        <w:t>The foreign exchange regime is fully liberalized and Ugandan exporters are entitled to retain 100% of their foreign exchange earnings accruing from their export transactions</w:t>
      </w:r>
    </w:p>
    <w:p w14:paraId="55912E14" w14:textId="77777777" w:rsidR="00493D7A" w:rsidRPr="00501223" w:rsidRDefault="00493D7A" w:rsidP="00493D7A">
      <w:pPr>
        <w:pStyle w:val="NoSpacing"/>
        <w:numPr>
          <w:ilvl w:val="0"/>
          <w:numId w:val="27"/>
        </w:numPr>
        <w:suppressAutoHyphens/>
        <w:jc w:val="both"/>
        <w:rPr>
          <w:rFonts w:ascii="Bookman Old Style" w:eastAsia="Arial" w:hAnsi="Bookman Old Style" w:cs="Arial"/>
          <w:b/>
          <w:bCs/>
          <w:sz w:val="24"/>
          <w:szCs w:val="24"/>
        </w:rPr>
      </w:pPr>
      <w:r w:rsidRPr="00501223">
        <w:rPr>
          <w:rFonts w:ascii="Bookman Old Style" w:hAnsi="Bookman Old Style"/>
          <w:b/>
          <w:bCs/>
          <w:sz w:val="24"/>
          <w:szCs w:val="24"/>
        </w:rPr>
        <w:t xml:space="preserve">Duty and VAT exemptions: </w:t>
      </w:r>
      <w:r w:rsidRPr="00501223">
        <w:rPr>
          <w:rFonts w:ascii="Bookman Old Style" w:hAnsi="Bookman Old Style"/>
          <w:sz w:val="24"/>
          <w:szCs w:val="24"/>
        </w:rPr>
        <w:t>There are no taxes charged on exports (zero rated). This is meant to reduce costs for the exporters and to make exports from Uganda more competitive</w:t>
      </w:r>
    </w:p>
    <w:p w14:paraId="3DA18A4F" w14:textId="77777777" w:rsidR="00493D7A" w:rsidRPr="00501223" w:rsidRDefault="00493D7A" w:rsidP="00493D7A">
      <w:pPr>
        <w:pStyle w:val="NoSpacing"/>
        <w:numPr>
          <w:ilvl w:val="0"/>
          <w:numId w:val="27"/>
        </w:numPr>
        <w:suppressAutoHyphens/>
        <w:jc w:val="both"/>
        <w:rPr>
          <w:rFonts w:ascii="Bookman Old Style" w:eastAsia="Arial" w:hAnsi="Bookman Old Style" w:cs="Arial"/>
          <w:sz w:val="24"/>
          <w:szCs w:val="24"/>
        </w:rPr>
      </w:pPr>
      <w:r w:rsidRPr="00501223">
        <w:rPr>
          <w:rFonts w:ascii="Bookman Old Style" w:hAnsi="Bookman Old Style"/>
          <w:b/>
          <w:bCs/>
          <w:sz w:val="24"/>
          <w:szCs w:val="24"/>
        </w:rPr>
        <w:t xml:space="preserve">Market Access: </w:t>
      </w:r>
      <w:r w:rsidRPr="00501223">
        <w:rPr>
          <w:rFonts w:ascii="Bookman Old Style" w:hAnsi="Bookman Old Style"/>
          <w:sz w:val="24"/>
          <w:szCs w:val="24"/>
        </w:rPr>
        <w:t xml:space="preserve">Ugandan products enter the European Union and USA markets duty and quota free under the Cotonou Agreement </w:t>
      </w:r>
      <w:r w:rsidRPr="00501223">
        <w:rPr>
          <w:rFonts w:ascii="Bookman Old Style" w:hAnsi="Bookman Old Style"/>
          <w:sz w:val="24"/>
          <w:szCs w:val="24"/>
        </w:rPr>
        <w:lastRenderedPageBreak/>
        <w:t>(ACP – EU) and the African Growth and Opportunity Act (AGOA) initiatives respectively. By signing to these agreements, the Ugandan Government makes exported products from Uganda into these markets more competitive compared to countries that are not signatories to such agreements e.g. Nigeria</w:t>
      </w:r>
    </w:p>
    <w:p w14:paraId="7943D8C1" w14:textId="77777777" w:rsidR="00493D7A" w:rsidRPr="00501223" w:rsidRDefault="00493D7A" w:rsidP="00493D7A">
      <w:pPr>
        <w:pStyle w:val="NoSpacing"/>
        <w:numPr>
          <w:ilvl w:val="0"/>
          <w:numId w:val="28"/>
        </w:numPr>
        <w:suppressAutoHyphens/>
        <w:jc w:val="both"/>
        <w:rPr>
          <w:rFonts w:ascii="Bookman Old Style" w:eastAsia="Arial" w:hAnsi="Bookman Old Style" w:cs="Arial"/>
          <w:sz w:val="24"/>
          <w:szCs w:val="24"/>
        </w:rPr>
      </w:pPr>
      <w:r w:rsidRPr="00501223">
        <w:rPr>
          <w:rFonts w:ascii="Bookman Old Style" w:hAnsi="Bookman Old Style"/>
          <w:b/>
          <w:bCs/>
          <w:sz w:val="24"/>
          <w:szCs w:val="24"/>
        </w:rPr>
        <w:t>Zero Rating for Value Added Tax (VAT) on Exports</w:t>
      </w:r>
      <w:r w:rsidRPr="00501223">
        <w:rPr>
          <w:rFonts w:ascii="Bookman Old Style" w:hAnsi="Bookman Old Style"/>
          <w:sz w:val="24"/>
          <w:szCs w:val="24"/>
        </w:rPr>
        <w:t xml:space="preserve">: In Uganda, all exports of goods and services are zero rated for VAT. However, exporters are required to be VAT registered. This enables them to re-claim VAT expended on all inputs used in the process of producing and processing exports. </w:t>
      </w:r>
    </w:p>
    <w:p w14:paraId="3ADF5F12" w14:textId="77777777" w:rsidR="00493D7A" w:rsidRPr="00501223" w:rsidRDefault="00493D7A" w:rsidP="00493D7A">
      <w:pPr>
        <w:pStyle w:val="NoSpacing"/>
        <w:numPr>
          <w:ilvl w:val="0"/>
          <w:numId w:val="28"/>
        </w:numPr>
        <w:suppressAutoHyphens/>
        <w:jc w:val="both"/>
        <w:rPr>
          <w:rFonts w:ascii="Bookman Old Style" w:eastAsia="Arial" w:hAnsi="Bookman Old Style" w:cs="Arial"/>
          <w:sz w:val="24"/>
          <w:szCs w:val="24"/>
        </w:rPr>
      </w:pPr>
      <w:r w:rsidRPr="00501223">
        <w:rPr>
          <w:rFonts w:ascii="Bookman Old Style" w:hAnsi="Bookman Old Style"/>
          <w:b/>
          <w:bCs/>
          <w:sz w:val="24"/>
          <w:szCs w:val="24"/>
        </w:rPr>
        <w:t xml:space="preserve">Duty Drawback: </w:t>
      </w:r>
      <w:r w:rsidRPr="00501223">
        <w:rPr>
          <w:rFonts w:ascii="Bookman Old Style" w:hAnsi="Bookman Old Style"/>
          <w:sz w:val="24"/>
          <w:szCs w:val="24"/>
        </w:rPr>
        <w:t>The rationale for duty drawback is to enable manufacturers and other exporters to compete in foreign markets without the handicap of including costs of imported inputs in the final export price, the duty paid on imported inputs. This allows exports to draw back up to 100% duties paid on materials inputs imported to produce for export</w:t>
      </w:r>
    </w:p>
    <w:p w14:paraId="264F123A" w14:textId="77777777" w:rsidR="00493D7A" w:rsidRPr="00501223" w:rsidRDefault="00493D7A" w:rsidP="00493D7A">
      <w:pPr>
        <w:pStyle w:val="NoSpacing"/>
        <w:numPr>
          <w:ilvl w:val="0"/>
          <w:numId w:val="28"/>
        </w:numPr>
        <w:suppressAutoHyphens/>
        <w:jc w:val="both"/>
        <w:rPr>
          <w:rFonts w:ascii="Bookman Old Style" w:eastAsia="Arial" w:hAnsi="Bookman Old Style" w:cs="Arial"/>
          <w:sz w:val="24"/>
          <w:szCs w:val="24"/>
        </w:rPr>
      </w:pPr>
      <w:r w:rsidRPr="00501223">
        <w:rPr>
          <w:rFonts w:ascii="Bookman Old Style" w:hAnsi="Bookman Old Style"/>
          <w:b/>
          <w:bCs/>
          <w:sz w:val="24"/>
          <w:szCs w:val="24"/>
        </w:rPr>
        <w:t xml:space="preserve">Manufacturing under Bond: </w:t>
      </w:r>
      <w:r w:rsidRPr="00501223">
        <w:rPr>
          <w:rFonts w:ascii="Bookman Old Style" w:hAnsi="Bookman Old Style"/>
          <w:sz w:val="24"/>
          <w:szCs w:val="24"/>
        </w:rPr>
        <w:t xml:space="preserve">This scheme allows manufacturers to seek custom license to hold and use imported raw materials intended for manufacture for export in secured places without payment of taxes. </w:t>
      </w:r>
    </w:p>
    <w:p w14:paraId="427B08FF" w14:textId="77777777" w:rsidR="00493D7A" w:rsidRPr="00501223" w:rsidRDefault="00493D7A" w:rsidP="00493D7A">
      <w:pPr>
        <w:pStyle w:val="NoSpacing"/>
        <w:suppressAutoHyphens/>
        <w:jc w:val="both"/>
        <w:rPr>
          <w:rFonts w:ascii="Bookman Old Style" w:eastAsia="Arial" w:hAnsi="Bookman Old Style" w:cs="Arial"/>
          <w:sz w:val="24"/>
          <w:szCs w:val="24"/>
        </w:rPr>
      </w:pPr>
      <w:r w:rsidRPr="00501223">
        <w:rPr>
          <w:rFonts w:ascii="Bookman Old Style" w:hAnsi="Bookman Old Style"/>
          <w:sz w:val="24"/>
          <w:szCs w:val="24"/>
        </w:rPr>
        <w:t>All these export incentives are currently functional in Uganda. Nigerian exporters are expected to compete for certain markets with exporters from this country. What are our chances in the face of the current Ease of Doing Business ranking and the absence of the only functional export incentive in Nigeria, the EEG?</w:t>
      </w:r>
    </w:p>
    <w:p w14:paraId="75699383" w14:textId="77777777" w:rsidR="00DC225C" w:rsidRDefault="00493D7A" w:rsidP="00DC225C">
      <w:pPr>
        <w:pStyle w:val="NoSpacing"/>
        <w:suppressAutoHyphens/>
        <w:jc w:val="both"/>
        <w:rPr>
          <w:rFonts w:ascii="Bookman Old Style" w:hAnsi="Bookman Old Style"/>
          <w:sz w:val="24"/>
          <w:szCs w:val="24"/>
        </w:rPr>
      </w:pPr>
      <w:r w:rsidRPr="00501223">
        <w:rPr>
          <w:rFonts w:ascii="Bookman Old Style" w:hAnsi="Bookman Old Style"/>
          <w:sz w:val="24"/>
          <w:szCs w:val="24"/>
        </w:rPr>
        <w:t>Thus, despite the infrastructural advantages and the cost-competitiveness enjoyed by their exporters, other major exporting countries, especially strong, export-led economies like China, the United States of America, Singapore, Australia, Brazil, China, and India, are still providing huge export incentives to promote exports; and Nigeria would need to act proactively so as to avoid being further marginalized in the international trade arena.</w:t>
      </w:r>
    </w:p>
    <w:p w14:paraId="63085E10" w14:textId="77777777" w:rsidR="00DC225C" w:rsidRDefault="00DC225C" w:rsidP="00DC225C">
      <w:pPr>
        <w:pStyle w:val="NoSpacing"/>
        <w:suppressAutoHyphens/>
        <w:jc w:val="both"/>
        <w:rPr>
          <w:rFonts w:ascii="Bookman Old Style" w:hAnsi="Bookman Old Style"/>
          <w:b/>
          <w:sz w:val="24"/>
          <w:szCs w:val="24"/>
        </w:rPr>
      </w:pPr>
    </w:p>
    <w:p w14:paraId="10033834" w14:textId="530E34B1" w:rsidR="00493D7A" w:rsidRPr="00DC225C" w:rsidRDefault="00DC225C" w:rsidP="00DC225C">
      <w:pPr>
        <w:pStyle w:val="NoSpacing"/>
        <w:suppressAutoHyphens/>
        <w:jc w:val="both"/>
        <w:rPr>
          <w:rFonts w:ascii="Bookman Old Style" w:eastAsia="Arial" w:hAnsi="Bookman Old Style" w:cs="Arial"/>
          <w:sz w:val="24"/>
          <w:szCs w:val="24"/>
        </w:rPr>
      </w:pPr>
      <w:r w:rsidRPr="00DC225C">
        <w:rPr>
          <w:rFonts w:ascii="Bookman Old Style" w:hAnsi="Bookman Old Style"/>
          <w:b/>
          <w:sz w:val="24"/>
          <w:szCs w:val="24"/>
        </w:rPr>
        <w:t>4.3</w:t>
      </w:r>
      <w:r>
        <w:rPr>
          <w:rFonts w:ascii="Bookman Old Style" w:hAnsi="Bookman Old Style"/>
          <w:sz w:val="24"/>
          <w:szCs w:val="24"/>
        </w:rPr>
        <w:t xml:space="preserve"> </w:t>
      </w:r>
      <w:r w:rsidR="00493D7A" w:rsidRPr="00DC225C">
        <w:rPr>
          <w:rFonts w:ascii="Bookman Old Style" w:hAnsi="Bookman Old Style"/>
          <w:b/>
          <w:color w:val="auto"/>
          <w:sz w:val="24"/>
          <w:szCs w:val="24"/>
          <w:u w:color="2F759E"/>
        </w:rPr>
        <w:t>The Export Expansion Grant (EEG)</w:t>
      </w:r>
    </w:p>
    <w:p w14:paraId="668FDBE9" w14:textId="77777777" w:rsidR="00493D7A" w:rsidRPr="00501223" w:rsidRDefault="00493D7A" w:rsidP="00493D7A">
      <w:pPr>
        <w:pStyle w:val="NoSpacing"/>
        <w:suppressAutoHyphens/>
        <w:jc w:val="both"/>
        <w:rPr>
          <w:rFonts w:ascii="Bookman Old Style" w:eastAsia="Arial" w:hAnsi="Bookman Old Style" w:cs="Arial"/>
          <w:sz w:val="24"/>
          <w:szCs w:val="24"/>
        </w:rPr>
      </w:pPr>
      <w:r w:rsidRPr="00501223">
        <w:rPr>
          <w:rFonts w:ascii="Bookman Old Style" w:hAnsi="Bookman Old Style"/>
          <w:sz w:val="24"/>
          <w:szCs w:val="24"/>
        </w:rPr>
        <w:t>The Federal Government of Nigeria is not oblivious of the challenges faced by Nigeria’s non-oil exporters. Thus, Government has, over the years, set up various incentive schemes for companies whose businesses are export-focused. The incentives range from tax exemption to duty drawbacks (now defunct), Export Development Fund (not activated), Export Expansion Grant and Export Adjustment Scheme Fund amongst others. Of these, the only one in operation till 2013 was the Export Expansion Grant (EEG).</w:t>
      </w:r>
    </w:p>
    <w:p w14:paraId="37F45C40" w14:textId="77777777" w:rsidR="00493D7A" w:rsidRPr="00501223" w:rsidRDefault="00493D7A" w:rsidP="00493D7A">
      <w:pPr>
        <w:pStyle w:val="NoSpacing"/>
        <w:suppressAutoHyphens/>
        <w:jc w:val="both"/>
        <w:rPr>
          <w:rFonts w:ascii="Bookman Old Style" w:eastAsia="Arial" w:hAnsi="Bookman Old Style" w:cs="Arial"/>
          <w:sz w:val="24"/>
          <w:szCs w:val="24"/>
        </w:rPr>
      </w:pPr>
      <w:r w:rsidRPr="00501223">
        <w:rPr>
          <w:rFonts w:ascii="Bookman Old Style" w:hAnsi="Bookman Old Style"/>
          <w:sz w:val="24"/>
          <w:szCs w:val="24"/>
        </w:rPr>
        <w:lastRenderedPageBreak/>
        <w:t xml:space="preserve">The EEG is a grant issued to non-oil exporters to reduce production, distribution and logistics (Production) costs which will enable them compete effectively in the international market since production expenses will naturally impact final product price. It was expected that goods from other countries with cheaper production costs would ordinarily sell cheaper, even in Nigeria, than those exported from Nigeria. The grant ranges from 10 per cent to 30 per cent of the Freight On Board value of the products being exported with a confirmation that the export proceeds have been repatriated. The grant rate scored by the exporter also depends on the categorization of the exporter among others. </w:t>
      </w:r>
    </w:p>
    <w:p w14:paraId="3483DE97" w14:textId="77777777" w:rsidR="00493D7A" w:rsidRPr="00501223" w:rsidRDefault="00493D7A" w:rsidP="00493D7A">
      <w:pPr>
        <w:pStyle w:val="NoSpacing"/>
        <w:suppressAutoHyphens/>
        <w:jc w:val="both"/>
        <w:rPr>
          <w:rFonts w:ascii="Bookman Old Style" w:eastAsia="Arial" w:hAnsi="Bookman Old Style" w:cs="Arial"/>
          <w:sz w:val="24"/>
          <w:szCs w:val="24"/>
        </w:rPr>
      </w:pPr>
      <w:r w:rsidRPr="00501223">
        <w:rPr>
          <w:rFonts w:ascii="Bookman Old Style" w:hAnsi="Bookman Old Style"/>
          <w:sz w:val="24"/>
          <w:szCs w:val="24"/>
        </w:rPr>
        <w:t>Prior to the 1999 fiscal year, the EEG was paid to beneficiaries in cash. However, from 1999, the grant came in the form of Negotiable Duty Credit Certificates (NDCCs) issued by the Nigeria Customs Service. The NDCC is a negotiable instrument that can be used to settle or reduce import and Excise Duties. Accordingly, it offers the following benefits to the exporter:</w:t>
      </w:r>
    </w:p>
    <w:p w14:paraId="41FF0A71" w14:textId="77777777" w:rsidR="00493D7A" w:rsidRPr="00501223" w:rsidRDefault="00493D7A" w:rsidP="00493D7A">
      <w:pPr>
        <w:pStyle w:val="NoSpacing"/>
        <w:numPr>
          <w:ilvl w:val="0"/>
          <w:numId w:val="30"/>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Enhances the ability of such exporters to reduce overhead costs given the potential to reduce or eliminate incidence of import duties on products used by such exporters in their production.</w:t>
      </w:r>
    </w:p>
    <w:p w14:paraId="704064BE" w14:textId="77777777" w:rsidR="00493D7A" w:rsidRPr="00501223" w:rsidRDefault="00493D7A" w:rsidP="00493D7A">
      <w:pPr>
        <w:pStyle w:val="NoSpacing"/>
        <w:numPr>
          <w:ilvl w:val="0"/>
          <w:numId w:val="32"/>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Can be used as security to obtain loan from banks.</w:t>
      </w:r>
    </w:p>
    <w:p w14:paraId="7165C91A" w14:textId="77777777" w:rsidR="00493D7A" w:rsidRPr="00501223" w:rsidRDefault="00493D7A" w:rsidP="00493D7A">
      <w:pPr>
        <w:pStyle w:val="NoSpacing"/>
        <w:numPr>
          <w:ilvl w:val="0"/>
          <w:numId w:val="34"/>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It can be transferred from the original beneficiary to third parties (up to a maximum of three transfers) - Thus, where the exporter has no import duties payable, it could still benefit from the NDCC.</w:t>
      </w:r>
    </w:p>
    <w:p w14:paraId="29D17510" w14:textId="63556F57" w:rsidR="00DC225C" w:rsidRPr="009930A9" w:rsidRDefault="00493D7A" w:rsidP="009930A9">
      <w:pPr>
        <w:pStyle w:val="NoSpacing"/>
        <w:suppressAutoHyphens/>
        <w:jc w:val="both"/>
        <w:rPr>
          <w:rFonts w:ascii="Bookman Old Style" w:eastAsia="Arial" w:hAnsi="Bookman Old Style" w:cs="Arial"/>
          <w:sz w:val="24"/>
          <w:szCs w:val="24"/>
        </w:rPr>
      </w:pPr>
      <w:r w:rsidRPr="00501223">
        <w:rPr>
          <w:rFonts w:ascii="Bookman Old Style" w:hAnsi="Bookman Old Style"/>
          <w:sz w:val="24"/>
          <w:szCs w:val="24"/>
        </w:rPr>
        <w:t>This was how the EEG operated and was administered between 2005 and 2013. In 2013, the EEG was re-designed but not long thereafter, was suspended for another review exercise following allegations of abuse. It is on record that the scheme has been suspended and reactivated eight times between 2005 and 2014. The last suspension was in January 2014.</w:t>
      </w:r>
    </w:p>
    <w:p w14:paraId="53562B76" w14:textId="77777777" w:rsidR="009930A9" w:rsidRDefault="009930A9" w:rsidP="00DC225C">
      <w:pPr>
        <w:pStyle w:val="BodyB"/>
        <w:spacing w:after="0"/>
        <w:jc w:val="both"/>
        <w:rPr>
          <w:rFonts w:ascii="Bookman Old Style" w:hAnsi="Bookman Old Style"/>
          <w:b/>
          <w:color w:val="auto"/>
          <w:u w:color="499BC9"/>
        </w:rPr>
      </w:pPr>
    </w:p>
    <w:p w14:paraId="2E32DA18" w14:textId="5726B171" w:rsidR="009930A9" w:rsidRPr="00635F00" w:rsidRDefault="009930A9" w:rsidP="00DC225C">
      <w:pPr>
        <w:pStyle w:val="BodyB"/>
        <w:spacing w:after="0"/>
        <w:jc w:val="both"/>
        <w:rPr>
          <w:rFonts w:ascii="Bookman Old Style" w:hAnsi="Bookman Old Style"/>
          <w:b/>
          <w:color w:val="auto"/>
          <w:u w:color="499BC9"/>
        </w:rPr>
      </w:pPr>
      <w:r>
        <w:rPr>
          <w:rFonts w:ascii="Bookman Old Style" w:hAnsi="Bookman Old Style"/>
          <w:b/>
          <w:color w:val="auto"/>
          <w:u w:color="499BC9"/>
        </w:rPr>
        <w:t>Figure 2</w:t>
      </w:r>
      <w:r w:rsidR="00DC225C" w:rsidRPr="00635F00">
        <w:rPr>
          <w:rFonts w:ascii="Bookman Old Style" w:hAnsi="Bookman Old Style"/>
          <w:b/>
          <w:color w:val="auto"/>
          <w:u w:color="499BC9"/>
        </w:rPr>
        <w:t xml:space="preserve"> </w:t>
      </w:r>
      <w:r w:rsidR="00493D7A" w:rsidRPr="00635F00">
        <w:rPr>
          <w:rFonts w:ascii="Bookman Old Style" w:hAnsi="Bookman Old Style"/>
          <w:b/>
          <w:color w:val="auto"/>
          <w:u w:color="499BC9"/>
        </w:rPr>
        <w:t>Benefits of EEG</w:t>
      </w:r>
    </w:p>
    <w:p w14:paraId="2DE34AC1" w14:textId="77777777" w:rsidR="00635F00" w:rsidRDefault="00493D7A" w:rsidP="00635F00">
      <w:pPr>
        <w:pStyle w:val="Body"/>
        <w:rPr>
          <w:rFonts w:ascii="Bookman Old Style" w:hAnsi="Bookman Old Style"/>
          <w:color w:val="499BC9"/>
          <w:sz w:val="28"/>
          <w:szCs w:val="28"/>
          <w:u w:color="499BC9"/>
        </w:rPr>
      </w:pPr>
      <w:r w:rsidRPr="00501223">
        <w:rPr>
          <w:rFonts w:ascii="Bookman Old Style" w:eastAsia="Arial" w:hAnsi="Bookman Old Style" w:cs="Arial"/>
          <w:noProof/>
          <w:sz w:val="24"/>
          <w:szCs w:val="24"/>
          <w:shd w:val="clear" w:color="auto" w:fill="6EC038"/>
          <w:lang w:val="en-GB"/>
        </w:rPr>
        <w:lastRenderedPageBreak/>
        <w:drawing>
          <wp:inline distT="0" distB="0" distL="0" distR="0" wp14:anchorId="190B6690" wp14:editId="656A6632">
            <wp:extent cx="5688420" cy="2934586"/>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2">
                      <a:extLst/>
                    </a:blip>
                    <a:stretch>
                      <a:fillRect/>
                    </a:stretch>
                  </pic:blipFill>
                  <pic:spPr>
                    <a:xfrm>
                      <a:off x="0" y="0"/>
                      <a:ext cx="5688420" cy="2934586"/>
                    </a:xfrm>
                    <a:prstGeom prst="rect">
                      <a:avLst/>
                    </a:prstGeom>
                    <a:ln w="12700" cap="flat">
                      <a:noFill/>
                      <a:miter lim="400000"/>
                    </a:ln>
                    <a:effectLst/>
                  </pic:spPr>
                </pic:pic>
              </a:graphicData>
            </a:graphic>
          </wp:inline>
        </w:drawing>
      </w:r>
    </w:p>
    <w:p w14:paraId="61D0C1C8" w14:textId="392AB874" w:rsidR="00493D7A" w:rsidRDefault="00493D7A" w:rsidP="00493D7A">
      <w:pPr>
        <w:pStyle w:val="NoSpacing"/>
        <w:suppressAutoHyphens/>
        <w:jc w:val="both"/>
        <w:rPr>
          <w:rFonts w:ascii="Bookman Old Style" w:hAnsi="Bookman Old Style"/>
          <w:sz w:val="24"/>
          <w:szCs w:val="24"/>
        </w:rPr>
      </w:pPr>
      <w:r w:rsidRPr="00501223">
        <w:rPr>
          <w:rFonts w:ascii="Bookman Old Style" w:hAnsi="Bookman Old Style"/>
          <w:sz w:val="24"/>
          <w:szCs w:val="24"/>
        </w:rPr>
        <w:t>Analysis of Nigeria’s non-oil exports during the regime of the EEG scheme showed that there was remarkable improvement. For example, Non-oil exports increased by 400% under the extant EEG policy regime (2005-11) as illustrated in the chart below.</w:t>
      </w:r>
    </w:p>
    <w:p w14:paraId="6F8BB9E2" w14:textId="6722B29A" w:rsidR="009930A9" w:rsidRPr="009930A9" w:rsidRDefault="009930A9" w:rsidP="009930A9">
      <w:pPr>
        <w:pStyle w:val="NoSpacing"/>
        <w:suppressAutoHyphens/>
        <w:spacing w:after="0"/>
        <w:jc w:val="both"/>
        <w:rPr>
          <w:rFonts w:ascii="Bookman Old Style" w:eastAsia="Arial" w:hAnsi="Bookman Old Style" w:cs="Arial"/>
          <w:b/>
          <w:sz w:val="24"/>
          <w:szCs w:val="24"/>
        </w:rPr>
      </w:pPr>
      <w:r w:rsidRPr="009930A9">
        <w:rPr>
          <w:rFonts w:ascii="Bookman Old Style" w:eastAsia="Arial" w:hAnsi="Bookman Old Style" w:cs="Arial"/>
          <w:b/>
          <w:sz w:val="24"/>
          <w:szCs w:val="24"/>
        </w:rPr>
        <w:t>Figure 3 Impact of EEG on Non-oil Exports</w:t>
      </w:r>
    </w:p>
    <w:p w14:paraId="20A7054D" w14:textId="77777777" w:rsidR="00493D7A" w:rsidRPr="00501223" w:rsidRDefault="00493D7A" w:rsidP="00493D7A">
      <w:pPr>
        <w:pStyle w:val="Body"/>
        <w:rPr>
          <w:rFonts w:ascii="Bookman Old Style" w:hAnsi="Bookman Old Style"/>
        </w:rPr>
      </w:pPr>
      <w:r w:rsidRPr="00501223">
        <w:rPr>
          <w:rFonts w:ascii="Bookman Old Style" w:eastAsia="Arial" w:hAnsi="Bookman Old Style" w:cs="Arial"/>
          <w:noProof/>
          <w:sz w:val="24"/>
          <w:szCs w:val="24"/>
          <w:lang w:val="en-GB"/>
        </w:rPr>
        <w:drawing>
          <wp:inline distT="0" distB="0" distL="0" distR="0" wp14:anchorId="3DDF7BBC" wp14:editId="134B7227">
            <wp:extent cx="5726380" cy="2343150"/>
            <wp:effectExtent l="0" t="0" r="8255"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3">
                      <a:extLst/>
                    </a:blip>
                    <a:stretch>
                      <a:fillRect/>
                    </a:stretch>
                  </pic:blipFill>
                  <pic:spPr>
                    <a:xfrm>
                      <a:off x="0" y="0"/>
                      <a:ext cx="5735760" cy="2346988"/>
                    </a:xfrm>
                    <a:prstGeom prst="rect">
                      <a:avLst/>
                    </a:prstGeom>
                    <a:ln w="12700" cap="flat">
                      <a:noFill/>
                      <a:miter lim="400000"/>
                    </a:ln>
                    <a:effectLst/>
                  </pic:spPr>
                </pic:pic>
              </a:graphicData>
            </a:graphic>
          </wp:inline>
        </w:drawing>
      </w:r>
    </w:p>
    <w:p w14:paraId="4283272D" w14:textId="77777777" w:rsidR="00493D7A" w:rsidRPr="00501223" w:rsidRDefault="00493D7A" w:rsidP="00493D7A">
      <w:pPr>
        <w:pStyle w:val="Body"/>
        <w:rPr>
          <w:rFonts w:ascii="Bookman Old Style" w:hAnsi="Bookman Old Style"/>
        </w:rPr>
      </w:pPr>
    </w:p>
    <w:p w14:paraId="3C82B8C6" w14:textId="5F3AD2EE" w:rsidR="00493D7A" w:rsidRDefault="00493D7A" w:rsidP="00493D7A">
      <w:pPr>
        <w:pStyle w:val="NoSpacing"/>
        <w:suppressAutoHyphens/>
        <w:jc w:val="both"/>
        <w:rPr>
          <w:rFonts w:ascii="Bookman Old Style" w:hAnsi="Bookman Old Style"/>
          <w:sz w:val="24"/>
          <w:szCs w:val="24"/>
        </w:rPr>
      </w:pPr>
      <w:r w:rsidRPr="00501223">
        <w:rPr>
          <w:rFonts w:ascii="Bookman Old Style" w:hAnsi="Bookman Old Style"/>
          <w:sz w:val="24"/>
          <w:szCs w:val="24"/>
        </w:rPr>
        <w:t>Similarly, share of non-oil exports in Nigeria’s total exports, though small, doubled within 5 years (2006-11)</w:t>
      </w:r>
    </w:p>
    <w:p w14:paraId="3CD56EAE" w14:textId="77777777" w:rsidR="009930A9" w:rsidRDefault="009930A9" w:rsidP="009930A9">
      <w:pPr>
        <w:pStyle w:val="NoSpacing"/>
        <w:suppressAutoHyphens/>
        <w:spacing w:after="0"/>
        <w:jc w:val="both"/>
        <w:rPr>
          <w:rFonts w:ascii="Bookman Old Style" w:hAnsi="Bookman Old Style"/>
          <w:b/>
          <w:sz w:val="24"/>
          <w:szCs w:val="24"/>
        </w:rPr>
      </w:pPr>
    </w:p>
    <w:p w14:paraId="6EBAE5AD" w14:textId="4452F031" w:rsidR="009930A9" w:rsidRPr="009930A9" w:rsidRDefault="009930A9" w:rsidP="009930A9">
      <w:pPr>
        <w:pStyle w:val="NoSpacing"/>
        <w:suppressAutoHyphens/>
        <w:spacing w:after="0"/>
        <w:jc w:val="both"/>
        <w:rPr>
          <w:rFonts w:ascii="Bookman Old Style" w:eastAsia="Arial" w:hAnsi="Bookman Old Style" w:cs="Arial"/>
          <w:b/>
          <w:sz w:val="24"/>
          <w:szCs w:val="24"/>
        </w:rPr>
      </w:pPr>
      <w:r w:rsidRPr="009930A9">
        <w:rPr>
          <w:rFonts w:ascii="Bookman Old Style" w:hAnsi="Bookman Old Style"/>
          <w:b/>
          <w:sz w:val="24"/>
          <w:szCs w:val="24"/>
        </w:rPr>
        <w:t>Figure 4: Nigeria non-oil remittances</w:t>
      </w:r>
    </w:p>
    <w:p w14:paraId="7DF74C15" w14:textId="77777777" w:rsidR="00493D7A" w:rsidRPr="00501223" w:rsidRDefault="00493D7A" w:rsidP="00493D7A">
      <w:pPr>
        <w:pStyle w:val="Body"/>
        <w:rPr>
          <w:rFonts w:ascii="Bookman Old Style" w:hAnsi="Bookman Old Style"/>
        </w:rPr>
      </w:pPr>
      <w:r w:rsidRPr="00501223">
        <w:rPr>
          <w:rFonts w:ascii="Bookman Old Style" w:eastAsia="Arial" w:hAnsi="Bookman Old Style" w:cs="Arial"/>
          <w:noProof/>
          <w:sz w:val="24"/>
          <w:szCs w:val="24"/>
          <w:lang w:val="en-GB"/>
        </w:rPr>
        <w:lastRenderedPageBreak/>
        <w:drawing>
          <wp:inline distT="0" distB="0" distL="0" distR="0" wp14:anchorId="640D54F3" wp14:editId="6E80DC6B">
            <wp:extent cx="5727701" cy="2920453"/>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14">
                      <a:extLst/>
                    </a:blip>
                    <a:stretch>
                      <a:fillRect/>
                    </a:stretch>
                  </pic:blipFill>
                  <pic:spPr>
                    <a:xfrm>
                      <a:off x="0" y="0"/>
                      <a:ext cx="5727701" cy="2920453"/>
                    </a:xfrm>
                    <a:prstGeom prst="rect">
                      <a:avLst/>
                    </a:prstGeom>
                    <a:ln w="12700" cap="flat">
                      <a:noFill/>
                      <a:miter lim="400000"/>
                    </a:ln>
                    <a:effectLst/>
                  </pic:spPr>
                </pic:pic>
              </a:graphicData>
            </a:graphic>
          </wp:inline>
        </w:drawing>
      </w:r>
    </w:p>
    <w:p w14:paraId="132EBEC3" w14:textId="7F22B7C3" w:rsidR="00493D7A" w:rsidRDefault="00493D7A" w:rsidP="00493D7A">
      <w:pPr>
        <w:pStyle w:val="NoSpacing"/>
        <w:suppressAutoHyphens/>
        <w:spacing w:line="276" w:lineRule="auto"/>
        <w:jc w:val="both"/>
        <w:rPr>
          <w:rFonts w:ascii="Bookman Old Style" w:hAnsi="Bookman Old Style"/>
          <w:sz w:val="24"/>
          <w:szCs w:val="24"/>
        </w:rPr>
      </w:pPr>
      <w:r w:rsidRPr="00501223">
        <w:rPr>
          <w:rFonts w:ascii="Bookman Old Style" w:hAnsi="Bookman Old Style"/>
          <w:sz w:val="24"/>
          <w:szCs w:val="24"/>
        </w:rPr>
        <w:t>Specifically, EEG impacted largely on the Agro-allied products which drive Nigeria’s non-oil exports with Cocoa and leather contributing about 50% of total exports</w:t>
      </w:r>
    </w:p>
    <w:p w14:paraId="71F0BEC1" w14:textId="58DAF33E" w:rsidR="009930A9" w:rsidRPr="009930A9" w:rsidRDefault="009930A9" w:rsidP="009930A9">
      <w:pPr>
        <w:pStyle w:val="NoSpacing"/>
        <w:suppressAutoHyphens/>
        <w:spacing w:after="0"/>
        <w:jc w:val="both"/>
        <w:rPr>
          <w:rFonts w:ascii="Bookman Old Style" w:eastAsia="Arial" w:hAnsi="Bookman Old Style" w:cs="Arial"/>
          <w:b/>
          <w:sz w:val="24"/>
          <w:szCs w:val="24"/>
        </w:rPr>
      </w:pPr>
      <w:r>
        <w:rPr>
          <w:rFonts w:ascii="Bookman Old Style" w:hAnsi="Bookman Old Style"/>
          <w:b/>
          <w:sz w:val="24"/>
          <w:szCs w:val="24"/>
        </w:rPr>
        <w:t>Figure 5: Product wise market share of non-oil exports</w:t>
      </w:r>
    </w:p>
    <w:p w14:paraId="0358FF82" w14:textId="77777777" w:rsidR="00493D7A" w:rsidRPr="00501223" w:rsidRDefault="00493D7A" w:rsidP="00493D7A">
      <w:pPr>
        <w:pStyle w:val="Body"/>
        <w:rPr>
          <w:rFonts w:ascii="Bookman Old Style" w:hAnsi="Bookman Old Style"/>
        </w:rPr>
      </w:pPr>
      <w:r w:rsidRPr="00501223">
        <w:rPr>
          <w:rFonts w:ascii="Bookman Old Style" w:eastAsia="Arial" w:hAnsi="Bookman Old Style" w:cs="Arial"/>
          <w:noProof/>
          <w:sz w:val="24"/>
          <w:szCs w:val="24"/>
          <w:lang w:val="en-GB"/>
        </w:rPr>
        <w:drawing>
          <wp:inline distT="0" distB="0" distL="0" distR="0" wp14:anchorId="6094F585" wp14:editId="4D9BEADF">
            <wp:extent cx="5727701" cy="3171294"/>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a:picLocks noChangeAspect="1"/>
                    </pic:cNvPicPr>
                  </pic:nvPicPr>
                  <pic:blipFill>
                    <a:blip r:embed="rId15">
                      <a:extLst/>
                    </a:blip>
                    <a:stretch>
                      <a:fillRect/>
                    </a:stretch>
                  </pic:blipFill>
                  <pic:spPr>
                    <a:xfrm>
                      <a:off x="0" y="0"/>
                      <a:ext cx="5727701" cy="3171294"/>
                    </a:xfrm>
                    <a:prstGeom prst="rect">
                      <a:avLst/>
                    </a:prstGeom>
                    <a:ln w="12700" cap="flat">
                      <a:noFill/>
                      <a:miter lim="400000"/>
                    </a:ln>
                    <a:effectLst/>
                  </pic:spPr>
                </pic:pic>
              </a:graphicData>
            </a:graphic>
          </wp:inline>
        </w:drawing>
      </w:r>
    </w:p>
    <w:p w14:paraId="084EC857" w14:textId="62B273FA" w:rsidR="00493D7A" w:rsidRDefault="00493D7A" w:rsidP="00493D7A">
      <w:pPr>
        <w:pStyle w:val="NoSpacing"/>
        <w:suppressAutoHyphens/>
        <w:jc w:val="both"/>
        <w:rPr>
          <w:rFonts w:ascii="Bookman Old Style" w:hAnsi="Bookman Old Style"/>
          <w:sz w:val="24"/>
          <w:szCs w:val="24"/>
        </w:rPr>
      </w:pPr>
      <w:r w:rsidRPr="00501223">
        <w:rPr>
          <w:rFonts w:ascii="Bookman Old Style" w:hAnsi="Bookman Old Style"/>
          <w:sz w:val="24"/>
          <w:szCs w:val="24"/>
        </w:rPr>
        <w:t>Since agriculture employs the greater percentage of Nigerians, EEG accounted for the employment of over 11 million Nigerians who are directly and indirectly employed in the agro-allied non-oil sector, mostly in rural areas.</w:t>
      </w:r>
    </w:p>
    <w:p w14:paraId="73183195" w14:textId="05D58A35" w:rsidR="009930A9" w:rsidRPr="009930A9" w:rsidRDefault="009930A9" w:rsidP="009930A9">
      <w:pPr>
        <w:pBdr>
          <w:top w:val="nil"/>
          <w:left w:val="nil"/>
          <w:bottom w:val="nil"/>
          <w:right w:val="nil"/>
          <w:between w:val="nil"/>
          <w:bar w:val="nil"/>
        </w:pBdr>
        <w:suppressAutoHyphens/>
        <w:spacing w:after="0" w:line="240" w:lineRule="auto"/>
        <w:jc w:val="both"/>
        <w:rPr>
          <w:rFonts w:ascii="Bookman Old Style" w:eastAsia="Arial" w:hAnsi="Bookman Old Style" w:cs="Arial"/>
          <w:b/>
          <w:color w:val="000000"/>
          <w:sz w:val="24"/>
          <w:szCs w:val="24"/>
          <w:u w:color="000000"/>
          <w:bdr w:val="nil"/>
          <w:lang w:val="en-US" w:eastAsia="en-GB"/>
        </w:rPr>
      </w:pPr>
      <w:r>
        <w:rPr>
          <w:rFonts w:ascii="Bookman Old Style" w:eastAsia="Calibri" w:hAnsi="Bookman Old Style" w:cs="Calibri"/>
          <w:b/>
          <w:color w:val="000000"/>
          <w:sz w:val="24"/>
          <w:szCs w:val="24"/>
          <w:u w:color="000000"/>
          <w:bdr w:val="nil"/>
          <w:lang w:val="en-US" w:eastAsia="en-GB"/>
        </w:rPr>
        <w:t>Figure 6: Employment in non-oil sector</w:t>
      </w:r>
    </w:p>
    <w:p w14:paraId="5168683A" w14:textId="77777777" w:rsidR="00493D7A" w:rsidRPr="00501223" w:rsidRDefault="00493D7A" w:rsidP="00493D7A">
      <w:pPr>
        <w:pStyle w:val="Body"/>
        <w:rPr>
          <w:rFonts w:ascii="Bookman Old Style" w:hAnsi="Bookman Old Style"/>
        </w:rPr>
      </w:pPr>
      <w:r w:rsidRPr="00501223">
        <w:rPr>
          <w:rFonts w:ascii="Bookman Old Style" w:eastAsia="Arial" w:hAnsi="Bookman Old Style" w:cs="Arial"/>
          <w:noProof/>
          <w:sz w:val="24"/>
          <w:szCs w:val="24"/>
          <w:lang w:val="en-GB"/>
        </w:rPr>
        <w:lastRenderedPageBreak/>
        <w:drawing>
          <wp:inline distT="0" distB="0" distL="0" distR="0" wp14:anchorId="718E5B01" wp14:editId="7D462813">
            <wp:extent cx="5727701" cy="3158191"/>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a:picLocks noChangeAspect="1"/>
                    </pic:cNvPicPr>
                  </pic:nvPicPr>
                  <pic:blipFill>
                    <a:blip r:embed="rId16">
                      <a:extLst/>
                    </a:blip>
                    <a:stretch>
                      <a:fillRect/>
                    </a:stretch>
                  </pic:blipFill>
                  <pic:spPr>
                    <a:xfrm>
                      <a:off x="0" y="0"/>
                      <a:ext cx="5727701" cy="3158191"/>
                    </a:xfrm>
                    <a:prstGeom prst="rect">
                      <a:avLst/>
                    </a:prstGeom>
                    <a:ln w="12700" cap="flat">
                      <a:noFill/>
                      <a:miter lim="400000"/>
                    </a:ln>
                    <a:effectLst/>
                  </pic:spPr>
                </pic:pic>
              </a:graphicData>
            </a:graphic>
          </wp:inline>
        </w:drawing>
      </w:r>
    </w:p>
    <w:p w14:paraId="2D7362DF" w14:textId="6C23D530" w:rsidR="00493D7A" w:rsidRDefault="00493D7A" w:rsidP="00493D7A">
      <w:pPr>
        <w:pStyle w:val="NoSpacing"/>
        <w:suppressAutoHyphens/>
        <w:jc w:val="both"/>
        <w:rPr>
          <w:rFonts w:ascii="Bookman Old Style" w:hAnsi="Bookman Old Style"/>
          <w:sz w:val="24"/>
          <w:szCs w:val="24"/>
        </w:rPr>
      </w:pPr>
      <w:r w:rsidRPr="00501223">
        <w:rPr>
          <w:rFonts w:ascii="Bookman Old Style" w:hAnsi="Bookman Old Style"/>
          <w:sz w:val="24"/>
          <w:szCs w:val="24"/>
        </w:rPr>
        <w:t>Furthermore, as depicted in the map below, EEG impacted on the lives of Nigerians in all geo political zones by impacting on the Non-oil exports sector.</w:t>
      </w:r>
    </w:p>
    <w:p w14:paraId="35B68CA6" w14:textId="373E79AC" w:rsidR="009930A9" w:rsidRDefault="009930A9" w:rsidP="00493D7A">
      <w:pPr>
        <w:pStyle w:val="NoSpacing"/>
        <w:suppressAutoHyphens/>
        <w:jc w:val="both"/>
        <w:rPr>
          <w:rFonts w:ascii="Bookman Old Style" w:hAnsi="Bookman Old Style"/>
          <w:sz w:val="24"/>
          <w:szCs w:val="24"/>
        </w:rPr>
      </w:pPr>
    </w:p>
    <w:p w14:paraId="72CE8C41" w14:textId="6924AA99" w:rsidR="009930A9" w:rsidRPr="009930A9" w:rsidRDefault="009930A9" w:rsidP="009930A9">
      <w:pPr>
        <w:pBdr>
          <w:top w:val="nil"/>
          <w:left w:val="nil"/>
          <w:bottom w:val="nil"/>
          <w:right w:val="nil"/>
          <w:between w:val="nil"/>
          <w:bar w:val="nil"/>
        </w:pBdr>
        <w:suppressAutoHyphens/>
        <w:spacing w:after="0" w:line="240" w:lineRule="auto"/>
        <w:jc w:val="both"/>
        <w:rPr>
          <w:rFonts w:ascii="Bookman Old Style" w:eastAsia="Arial" w:hAnsi="Bookman Old Style" w:cs="Arial"/>
          <w:b/>
          <w:color w:val="000000"/>
          <w:sz w:val="24"/>
          <w:szCs w:val="24"/>
          <w:u w:color="000000"/>
          <w:bdr w:val="nil"/>
          <w:lang w:val="en-US" w:eastAsia="en-GB"/>
        </w:rPr>
      </w:pPr>
      <w:r>
        <w:rPr>
          <w:rFonts w:ascii="Bookman Old Style" w:eastAsia="Calibri" w:hAnsi="Bookman Old Style" w:cs="Calibri"/>
          <w:b/>
          <w:color w:val="000000"/>
          <w:sz w:val="24"/>
          <w:szCs w:val="24"/>
          <w:u w:color="000000"/>
          <w:bdr w:val="nil"/>
          <w:lang w:val="en-US" w:eastAsia="en-GB"/>
        </w:rPr>
        <w:t>Figure 7: Potential non-oil exports across Nigeria</w:t>
      </w:r>
    </w:p>
    <w:p w14:paraId="3EA4CAC5" w14:textId="77777777" w:rsidR="00493D7A" w:rsidRPr="00501223" w:rsidRDefault="00493D7A" w:rsidP="00493D7A">
      <w:pPr>
        <w:pStyle w:val="Body"/>
        <w:rPr>
          <w:rFonts w:ascii="Bookman Old Style" w:hAnsi="Bookman Old Style"/>
        </w:rPr>
      </w:pPr>
      <w:r w:rsidRPr="00501223">
        <w:rPr>
          <w:rFonts w:ascii="Bookman Old Style" w:eastAsia="Arial" w:hAnsi="Bookman Old Style" w:cs="Arial"/>
          <w:noProof/>
          <w:sz w:val="24"/>
          <w:szCs w:val="24"/>
          <w:lang w:val="en-GB"/>
        </w:rPr>
        <w:drawing>
          <wp:inline distT="0" distB="0" distL="0" distR="0" wp14:anchorId="077C64B4" wp14:editId="4A301459">
            <wp:extent cx="5727701" cy="2886835"/>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ng"/>
                    <pic:cNvPicPr>
                      <a:picLocks noChangeAspect="1"/>
                    </pic:cNvPicPr>
                  </pic:nvPicPr>
                  <pic:blipFill>
                    <a:blip r:embed="rId17">
                      <a:extLst/>
                    </a:blip>
                    <a:stretch>
                      <a:fillRect/>
                    </a:stretch>
                  </pic:blipFill>
                  <pic:spPr>
                    <a:xfrm>
                      <a:off x="0" y="0"/>
                      <a:ext cx="5727701" cy="2886835"/>
                    </a:xfrm>
                    <a:prstGeom prst="rect">
                      <a:avLst/>
                    </a:prstGeom>
                    <a:ln w="12700" cap="flat">
                      <a:noFill/>
                      <a:miter lim="400000"/>
                    </a:ln>
                    <a:effectLst/>
                  </pic:spPr>
                </pic:pic>
              </a:graphicData>
            </a:graphic>
          </wp:inline>
        </w:drawing>
      </w:r>
    </w:p>
    <w:p w14:paraId="18715C1D" w14:textId="6076F271" w:rsidR="009930A9" w:rsidRDefault="00493D7A" w:rsidP="00493D7A">
      <w:pPr>
        <w:pStyle w:val="NoSpacing"/>
        <w:suppressAutoHyphens/>
        <w:jc w:val="both"/>
        <w:rPr>
          <w:rFonts w:ascii="Bookman Old Style" w:hAnsi="Bookman Old Style"/>
          <w:sz w:val="24"/>
          <w:szCs w:val="24"/>
        </w:rPr>
      </w:pPr>
      <w:r w:rsidRPr="00501223">
        <w:rPr>
          <w:rFonts w:ascii="Bookman Old Style" w:hAnsi="Bookman Old Style"/>
          <w:sz w:val="24"/>
          <w:szCs w:val="24"/>
        </w:rPr>
        <w:t>Also, EEG enabled Exporters to have diversified market base with entry to the US market in particular under AGOA.</w:t>
      </w:r>
    </w:p>
    <w:p w14:paraId="55D2E23D" w14:textId="79EA7AD8" w:rsidR="009930A9" w:rsidRPr="009930A9" w:rsidRDefault="009930A9" w:rsidP="009930A9">
      <w:pPr>
        <w:pBdr>
          <w:top w:val="nil"/>
          <w:left w:val="nil"/>
          <w:bottom w:val="nil"/>
          <w:right w:val="nil"/>
          <w:between w:val="nil"/>
          <w:bar w:val="nil"/>
        </w:pBdr>
        <w:suppressAutoHyphens/>
        <w:spacing w:after="0" w:line="240" w:lineRule="auto"/>
        <w:jc w:val="both"/>
        <w:rPr>
          <w:rFonts w:ascii="Bookman Old Style" w:eastAsia="Arial" w:hAnsi="Bookman Old Style" w:cs="Arial"/>
          <w:b/>
          <w:color w:val="000000"/>
          <w:sz w:val="24"/>
          <w:szCs w:val="24"/>
          <w:u w:color="000000"/>
          <w:bdr w:val="nil"/>
          <w:lang w:val="en-US" w:eastAsia="en-GB"/>
        </w:rPr>
      </w:pPr>
      <w:r>
        <w:rPr>
          <w:rFonts w:ascii="Bookman Old Style" w:eastAsia="Calibri" w:hAnsi="Bookman Old Style" w:cs="Calibri"/>
          <w:b/>
          <w:color w:val="000000"/>
          <w:sz w:val="24"/>
          <w:szCs w:val="24"/>
          <w:u w:color="000000"/>
          <w:bdr w:val="nil"/>
          <w:lang w:val="en-US" w:eastAsia="en-GB"/>
        </w:rPr>
        <w:t>Figure 8</w:t>
      </w:r>
      <w:r w:rsidR="00823548">
        <w:rPr>
          <w:rFonts w:ascii="Bookman Old Style" w:eastAsia="Calibri" w:hAnsi="Bookman Old Style" w:cs="Calibri"/>
          <w:b/>
          <w:color w:val="000000"/>
          <w:sz w:val="24"/>
          <w:szCs w:val="24"/>
          <w:u w:color="000000"/>
          <w:bdr w:val="nil"/>
          <w:lang w:val="en-US" w:eastAsia="en-GB"/>
        </w:rPr>
        <w:t>: Destination of Nigeria’s non-oil export</w:t>
      </w:r>
    </w:p>
    <w:p w14:paraId="0D90F929" w14:textId="77777777" w:rsidR="00635F00" w:rsidRDefault="00493D7A" w:rsidP="00635F00">
      <w:pPr>
        <w:pStyle w:val="Body"/>
        <w:rPr>
          <w:rFonts w:ascii="Bookman Old Style" w:hAnsi="Bookman Old Style"/>
          <w:color w:val="2F759E"/>
          <w:sz w:val="28"/>
          <w:szCs w:val="28"/>
          <w:u w:color="2F759E"/>
        </w:rPr>
      </w:pPr>
      <w:r w:rsidRPr="00501223">
        <w:rPr>
          <w:rFonts w:ascii="Bookman Old Style" w:eastAsia="Arial" w:hAnsi="Bookman Old Style" w:cs="Arial"/>
          <w:noProof/>
          <w:sz w:val="24"/>
          <w:szCs w:val="24"/>
          <w:lang w:val="en-GB"/>
        </w:rPr>
        <w:lastRenderedPageBreak/>
        <w:drawing>
          <wp:inline distT="0" distB="0" distL="0" distR="0" wp14:anchorId="318974B2" wp14:editId="014EACC1">
            <wp:extent cx="5727701" cy="2643554"/>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png"/>
                    <pic:cNvPicPr>
                      <a:picLocks noChangeAspect="1"/>
                    </pic:cNvPicPr>
                  </pic:nvPicPr>
                  <pic:blipFill>
                    <a:blip r:embed="rId18">
                      <a:extLst/>
                    </a:blip>
                    <a:stretch>
                      <a:fillRect/>
                    </a:stretch>
                  </pic:blipFill>
                  <pic:spPr>
                    <a:xfrm>
                      <a:off x="0" y="0"/>
                      <a:ext cx="5727701" cy="2643554"/>
                    </a:xfrm>
                    <a:prstGeom prst="rect">
                      <a:avLst/>
                    </a:prstGeom>
                    <a:ln w="12700" cap="flat">
                      <a:noFill/>
                      <a:miter lim="400000"/>
                    </a:ln>
                    <a:effectLst/>
                  </pic:spPr>
                </pic:pic>
              </a:graphicData>
            </a:graphic>
          </wp:inline>
        </w:drawing>
      </w:r>
    </w:p>
    <w:p w14:paraId="34FF0C6A" w14:textId="77777777" w:rsidR="00635F00" w:rsidRDefault="00635F00" w:rsidP="00635F00">
      <w:pPr>
        <w:pStyle w:val="Body"/>
        <w:rPr>
          <w:rFonts w:ascii="Bookman Old Style" w:hAnsi="Bookman Old Style"/>
          <w:color w:val="2F759E"/>
          <w:sz w:val="28"/>
          <w:szCs w:val="28"/>
          <w:u w:color="2F759E"/>
        </w:rPr>
      </w:pPr>
    </w:p>
    <w:p w14:paraId="62767DC8" w14:textId="16550D1E" w:rsidR="00493D7A" w:rsidRPr="00635F00" w:rsidRDefault="00635F00" w:rsidP="00635F00">
      <w:pPr>
        <w:pStyle w:val="Body"/>
        <w:spacing w:after="0" w:line="240" w:lineRule="auto"/>
        <w:rPr>
          <w:rFonts w:ascii="Bookman Old Style" w:hAnsi="Bookman Old Style"/>
          <w:b/>
          <w:color w:val="auto"/>
          <w:sz w:val="24"/>
          <w:szCs w:val="24"/>
        </w:rPr>
      </w:pPr>
      <w:r w:rsidRPr="00635F00">
        <w:rPr>
          <w:rFonts w:ascii="Bookman Old Style" w:hAnsi="Bookman Old Style"/>
          <w:b/>
          <w:color w:val="auto"/>
          <w:sz w:val="24"/>
          <w:szCs w:val="24"/>
          <w:u w:color="2F759E"/>
        </w:rPr>
        <w:t>4.</w:t>
      </w:r>
      <w:r w:rsidR="00FE43AD">
        <w:rPr>
          <w:rFonts w:ascii="Bookman Old Style" w:hAnsi="Bookman Old Style"/>
          <w:b/>
          <w:color w:val="auto"/>
          <w:sz w:val="24"/>
          <w:szCs w:val="24"/>
          <w:u w:color="2F759E"/>
        </w:rPr>
        <w:t>4</w:t>
      </w:r>
      <w:r w:rsidRPr="00635F00">
        <w:rPr>
          <w:rFonts w:ascii="Bookman Old Style" w:hAnsi="Bookman Old Style"/>
          <w:b/>
          <w:color w:val="auto"/>
          <w:sz w:val="24"/>
          <w:szCs w:val="24"/>
          <w:u w:color="2F759E"/>
        </w:rPr>
        <w:t xml:space="preserve"> </w:t>
      </w:r>
      <w:r w:rsidR="00493D7A" w:rsidRPr="00635F00">
        <w:rPr>
          <w:rFonts w:ascii="Bookman Old Style" w:hAnsi="Bookman Old Style"/>
          <w:b/>
          <w:color w:val="auto"/>
          <w:sz w:val="24"/>
          <w:szCs w:val="24"/>
          <w:u w:color="2F759E"/>
        </w:rPr>
        <w:t>Resolving the Impasse</w:t>
      </w:r>
    </w:p>
    <w:p w14:paraId="76C451E5" w14:textId="3377982C" w:rsidR="00493D7A" w:rsidRDefault="00493D7A" w:rsidP="00493D7A">
      <w:pPr>
        <w:pStyle w:val="Body"/>
        <w:rPr>
          <w:rFonts w:ascii="Bookman Old Style" w:hAnsi="Bookman Old Style"/>
          <w:sz w:val="24"/>
          <w:szCs w:val="24"/>
          <w:lang w:val="en-US"/>
        </w:rPr>
      </w:pPr>
      <w:r w:rsidRPr="00501223">
        <w:rPr>
          <w:rFonts w:ascii="Bookman Old Style" w:hAnsi="Bookman Old Style"/>
          <w:sz w:val="24"/>
          <w:szCs w:val="24"/>
          <w:lang w:val="en-US"/>
        </w:rPr>
        <w:t>The non-oil sector is facing a crisis due to an arbitrary embargo imposed by the former Minister of Finance Dr. Ngozi Okonjo Iweala in Jan 2014 on the utilisation of EEG-NDCC’s resulting into a huge backlog of over =N=150 billion of NDCC’s lying unutilized with exporters and a concomitant decline in non-oil exports in 2014.</w:t>
      </w:r>
    </w:p>
    <w:p w14:paraId="71255013" w14:textId="77777777" w:rsidR="00823548" w:rsidRDefault="00823548" w:rsidP="00823548">
      <w:pPr>
        <w:pBdr>
          <w:top w:val="nil"/>
          <w:left w:val="nil"/>
          <w:bottom w:val="nil"/>
          <w:right w:val="nil"/>
          <w:between w:val="nil"/>
          <w:bar w:val="nil"/>
        </w:pBdr>
        <w:suppressAutoHyphens/>
        <w:spacing w:after="0" w:line="240" w:lineRule="auto"/>
        <w:jc w:val="both"/>
        <w:rPr>
          <w:rFonts w:ascii="Bookman Old Style" w:eastAsia="Calibri" w:hAnsi="Bookman Old Style" w:cs="Calibri"/>
          <w:b/>
          <w:color w:val="000000"/>
          <w:sz w:val="24"/>
          <w:szCs w:val="24"/>
          <w:u w:color="000000"/>
          <w:bdr w:val="nil"/>
          <w:lang w:val="en-US" w:eastAsia="en-GB"/>
        </w:rPr>
      </w:pPr>
    </w:p>
    <w:p w14:paraId="0E159273" w14:textId="7AD18C61" w:rsidR="00823548" w:rsidRPr="00823548" w:rsidRDefault="00823548" w:rsidP="00823548">
      <w:pPr>
        <w:pBdr>
          <w:top w:val="nil"/>
          <w:left w:val="nil"/>
          <w:bottom w:val="nil"/>
          <w:right w:val="nil"/>
          <w:between w:val="nil"/>
          <w:bar w:val="nil"/>
        </w:pBdr>
        <w:suppressAutoHyphens/>
        <w:spacing w:after="0" w:line="240" w:lineRule="auto"/>
        <w:jc w:val="both"/>
        <w:rPr>
          <w:rFonts w:ascii="Bookman Old Style" w:eastAsia="Arial" w:hAnsi="Bookman Old Style" w:cs="Arial"/>
          <w:b/>
          <w:color w:val="000000"/>
          <w:sz w:val="24"/>
          <w:szCs w:val="24"/>
          <w:u w:color="000000"/>
          <w:bdr w:val="nil"/>
          <w:lang w:val="en-US" w:eastAsia="en-GB"/>
        </w:rPr>
      </w:pPr>
      <w:r>
        <w:rPr>
          <w:rFonts w:ascii="Bookman Old Style" w:eastAsia="Calibri" w:hAnsi="Bookman Old Style" w:cs="Calibri"/>
          <w:b/>
          <w:color w:val="000000"/>
          <w:sz w:val="24"/>
          <w:szCs w:val="24"/>
          <w:u w:color="000000"/>
          <w:bdr w:val="nil"/>
          <w:lang w:val="en-US" w:eastAsia="en-GB"/>
        </w:rPr>
        <w:t>Figure 9: Value of Nigeria non-oil exports (2006-2014)</w:t>
      </w:r>
    </w:p>
    <w:p w14:paraId="6486C223" w14:textId="77777777" w:rsidR="00493D7A" w:rsidRPr="00501223" w:rsidRDefault="00493D7A" w:rsidP="00493D7A">
      <w:pPr>
        <w:pStyle w:val="Body"/>
        <w:rPr>
          <w:rFonts w:ascii="Bookman Old Style" w:hAnsi="Bookman Old Style"/>
        </w:rPr>
      </w:pPr>
      <w:r w:rsidRPr="00501223">
        <w:rPr>
          <w:rFonts w:ascii="Bookman Old Style" w:eastAsia="Arial" w:hAnsi="Bookman Old Style" w:cs="Arial"/>
          <w:noProof/>
          <w:sz w:val="24"/>
          <w:szCs w:val="24"/>
          <w:lang w:val="en-GB"/>
        </w:rPr>
        <w:drawing>
          <wp:inline distT="0" distB="0" distL="0" distR="0" wp14:anchorId="424624A8" wp14:editId="17F911E2">
            <wp:extent cx="5727701" cy="194677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png"/>
                    <pic:cNvPicPr>
                      <a:picLocks noChangeAspect="1"/>
                    </pic:cNvPicPr>
                  </pic:nvPicPr>
                  <pic:blipFill>
                    <a:blip r:embed="rId19">
                      <a:extLst/>
                    </a:blip>
                    <a:srcRect b="19831"/>
                    <a:stretch>
                      <a:fillRect/>
                    </a:stretch>
                  </pic:blipFill>
                  <pic:spPr>
                    <a:xfrm>
                      <a:off x="0" y="0"/>
                      <a:ext cx="5727701" cy="1946770"/>
                    </a:xfrm>
                    <a:prstGeom prst="rect">
                      <a:avLst/>
                    </a:prstGeom>
                    <a:ln w="12700" cap="flat">
                      <a:noFill/>
                      <a:miter lim="400000"/>
                    </a:ln>
                    <a:effectLst/>
                  </pic:spPr>
                </pic:pic>
              </a:graphicData>
            </a:graphic>
          </wp:inline>
        </w:drawing>
      </w:r>
    </w:p>
    <w:p w14:paraId="20D2B3F9" w14:textId="77777777" w:rsidR="00493D7A" w:rsidRPr="00501223" w:rsidRDefault="00493D7A" w:rsidP="00493D7A">
      <w:pPr>
        <w:pStyle w:val="Body"/>
        <w:rPr>
          <w:rFonts w:ascii="Bookman Old Style" w:hAnsi="Bookman Old Style"/>
        </w:rPr>
      </w:pPr>
    </w:p>
    <w:p w14:paraId="4E4F2994" w14:textId="3E591E20" w:rsidR="00493D7A" w:rsidRPr="00501223" w:rsidRDefault="00493D7A" w:rsidP="00493D7A">
      <w:pPr>
        <w:pStyle w:val="NoSpacing"/>
        <w:suppressAutoHyphens/>
        <w:jc w:val="both"/>
        <w:rPr>
          <w:rFonts w:ascii="Bookman Old Style" w:eastAsia="Arial" w:hAnsi="Bookman Old Style" w:cs="Arial"/>
          <w:sz w:val="24"/>
          <w:szCs w:val="24"/>
        </w:rPr>
      </w:pPr>
      <w:r w:rsidRPr="00501223">
        <w:rPr>
          <w:rFonts w:ascii="Bookman Old Style" w:hAnsi="Bookman Old Style"/>
          <w:sz w:val="24"/>
          <w:szCs w:val="24"/>
        </w:rPr>
        <w:t>The backlog of unutilized NDCC’s has paralyze</w:t>
      </w:r>
      <w:r w:rsidR="00635F00">
        <w:rPr>
          <w:rFonts w:ascii="Bookman Old Style" w:hAnsi="Bookman Old Style"/>
          <w:sz w:val="24"/>
          <w:szCs w:val="24"/>
        </w:rPr>
        <w:t xml:space="preserve">d the non-oil export sector and </w:t>
      </w:r>
      <w:r w:rsidRPr="00501223">
        <w:rPr>
          <w:rFonts w:ascii="Bookman Old Style" w:hAnsi="Bookman Old Style"/>
          <w:sz w:val="24"/>
          <w:szCs w:val="24"/>
        </w:rPr>
        <w:t xml:space="preserve">is         affecting Nigeria’s image as a reliable </w:t>
      </w:r>
      <w:r w:rsidR="00635F00">
        <w:rPr>
          <w:rFonts w:ascii="Bookman Old Style" w:hAnsi="Bookman Old Style"/>
          <w:sz w:val="24"/>
          <w:szCs w:val="24"/>
        </w:rPr>
        <w:t xml:space="preserve">trading partner.  The liquidity </w:t>
      </w:r>
      <w:r w:rsidRPr="00501223">
        <w:rPr>
          <w:rFonts w:ascii="Bookman Old Style" w:hAnsi="Bookman Old Style"/>
          <w:sz w:val="24"/>
          <w:szCs w:val="24"/>
        </w:rPr>
        <w:t xml:space="preserve">problem faced by exporters is having a negative impact on agricultural and manufacturing sectors. Many companies have scaled down production and declared redundancy. </w:t>
      </w:r>
    </w:p>
    <w:p w14:paraId="4DFAEF9A" w14:textId="77777777" w:rsidR="00493D7A" w:rsidRPr="00501223" w:rsidRDefault="00493D7A" w:rsidP="00493D7A">
      <w:pPr>
        <w:pStyle w:val="NoSpacing"/>
        <w:suppressAutoHyphens/>
        <w:jc w:val="both"/>
        <w:rPr>
          <w:rFonts w:ascii="Bookman Old Style" w:eastAsia="Arial" w:hAnsi="Bookman Old Style" w:cs="Arial"/>
          <w:sz w:val="24"/>
          <w:szCs w:val="24"/>
        </w:rPr>
      </w:pPr>
      <w:r w:rsidRPr="00501223">
        <w:rPr>
          <w:rFonts w:ascii="Bookman Old Style" w:hAnsi="Bookman Old Style"/>
          <w:sz w:val="24"/>
          <w:szCs w:val="24"/>
        </w:rPr>
        <w:t xml:space="preserve">Besides the unutilized certificates, Nigeria Export Promotion Council (NEPC) has a backlog of claims against exports made up to 2013 and foreign </w:t>
      </w:r>
      <w:r w:rsidRPr="00501223">
        <w:rPr>
          <w:rFonts w:ascii="Bookman Old Style" w:hAnsi="Bookman Old Style"/>
          <w:sz w:val="24"/>
          <w:szCs w:val="24"/>
        </w:rPr>
        <w:lastRenderedPageBreak/>
        <w:t>exchange repatriated by the exporters as per the extant policy, which await processing by the EEG Implementation Committee. Owing to this ban, the Nigeria Customs Services (NCS) no longer honors the NDCC and this has triggered several adverse consequences including:</w:t>
      </w:r>
    </w:p>
    <w:p w14:paraId="2EC6C2CF" w14:textId="77777777" w:rsidR="00493D7A" w:rsidRPr="00501223" w:rsidRDefault="00493D7A" w:rsidP="00493D7A">
      <w:pPr>
        <w:pStyle w:val="NoSpacing"/>
        <w:numPr>
          <w:ilvl w:val="0"/>
          <w:numId w:val="35"/>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Challenges of loan repayment in respect of funds borrowed by exporters from</w:t>
      </w:r>
    </w:p>
    <w:p w14:paraId="1A2C4D34" w14:textId="77777777" w:rsidR="00493D7A" w:rsidRPr="00501223" w:rsidRDefault="00493D7A" w:rsidP="00493D7A">
      <w:pPr>
        <w:pStyle w:val="NoSpacing"/>
        <w:tabs>
          <w:tab w:val="left" w:pos="690"/>
        </w:tabs>
        <w:suppressAutoHyphens/>
        <w:spacing w:before="60"/>
        <w:ind w:left="663"/>
        <w:jc w:val="both"/>
        <w:rPr>
          <w:rFonts w:ascii="Bookman Old Style" w:eastAsia="Arial" w:hAnsi="Bookman Old Style" w:cs="Arial"/>
          <w:sz w:val="24"/>
          <w:szCs w:val="24"/>
        </w:rPr>
      </w:pPr>
      <w:r w:rsidRPr="00501223">
        <w:rPr>
          <w:rFonts w:ascii="Bookman Old Style" w:hAnsi="Bookman Old Style"/>
          <w:sz w:val="24"/>
          <w:szCs w:val="24"/>
        </w:rPr>
        <w:t>Financial institutions for export on the strength of the NDCC.</w:t>
      </w:r>
    </w:p>
    <w:p w14:paraId="309A7ABD" w14:textId="77777777" w:rsidR="00493D7A" w:rsidRPr="00501223" w:rsidRDefault="00493D7A" w:rsidP="00493D7A">
      <w:pPr>
        <w:pStyle w:val="NoSpacing"/>
        <w:numPr>
          <w:ilvl w:val="0"/>
          <w:numId w:val="35"/>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Incidences of bad loans in the hands of the bank since the NDCC collaterals are no longer honored.</w:t>
      </w:r>
    </w:p>
    <w:p w14:paraId="31637D00" w14:textId="77777777" w:rsidR="00493D7A" w:rsidRPr="00501223" w:rsidRDefault="00493D7A" w:rsidP="00493D7A">
      <w:pPr>
        <w:pStyle w:val="NoSpacing"/>
        <w:numPr>
          <w:ilvl w:val="0"/>
          <w:numId w:val="35"/>
        </w:numPr>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Potential non-competitiveness of products exported from Nigeria in the international market.</w:t>
      </w:r>
    </w:p>
    <w:p w14:paraId="50BF48C2" w14:textId="77777777" w:rsidR="00493D7A" w:rsidRPr="00501223" w:rsidRDefault="00493D7A" w:rsidP="00493D7A">
      <w:pPr>
        <w:pStyle w:val="NoSpacing"/>
        <w:numPr>
          <w:ilvl w:val="0"/>
          <w:numId w:val="37"/>
        </w:numPr>
        <w:suppressAutoHyphens/>
        <w:jc w:val="both"/>
        <w:rPr>
          <w:rFonts w:ascii="Bookman Old Style" w:eastAsia="Arial" w:hAnsi="Bookman Old Style" w:cs="Arial"/>
          <w:sz w:val="24"/>
          <w:szCs w:val="24"/>
        </w:rPr>
      </w:pPr>
      <w:r w:rsidRPr="00501223">
        <w:rPr>
          <w:rFonts w:ascii="Bookman Old Style" w:hAnsi="Bookman Old Style"/>
          <w:sz w:val="24"/>
          <w:szCs w:val="24"/>
        </w:rPr>
        <w:t xml:space="preserve"> It is expected that failure to access the EEG  would impact product pricing as payment of customs and excise duties would need to be reflected in the pricing structure of exported manufactures or processed products</w:t>
      </w:r>
    </w:p>
    <w:p w14:paraId="5557198F" w14:textId="77777777" w:rsidR="00493D7A" w:rsidRPr="00501223" w:rsidRDefault="00493D7A" w:rsidP="00493D7A">
      <w:pPr>
        <w:pStyle w:val="NoSpacing"/>
        <w:numPr>
          <w:ilvl w:val="0"/>
          <w:numId w:val="39"/>
        </w:numPr>
        <w:suppressAutoHyphens/>
        <w:jc w:val="both"/>
        <w:rPr>
          <w:rFonts w:ascii="Bookman Old Style" w:eastAsia="Arial" w:hAnsi="Bookman Old Style" w:cs="Arial"/>
          <w:sz w:val="24"/>
          <w:szCs w:val="24"/>
        </w:rPr>
      </w:pPr>
      <w:r w:rsidRPr="00501223">
        <w:rPr>
          <w:rFonts w:ascii="Bookman Old Style" w:hAnsi="Bookman Old Style"/>
          <w:sz w:val="24"/>
          <w:szCs w:val="24"/>
        </w:rPr>
        <w:t>Outright failure of the export business and attendant loss of jobs by the personnel employed in those non-oil export operations/businesses</w:t>
      </w:r>
    </w:p>
    <w:p w14:paraId="097C700C" w14:textId="77777777" w:rsidR="00493D7A" w:rsidRPr="00501223" w:rsidRDefault="00493D7A" w:rsidP="00493D7A">
      <w:pPr>
        <w:pStyle w:val="NoSpacing"/>
        <w:suppressAutoHyphens/>
        <w:jc w:val="both"/>
        <w:rPr>
          <w:rFonts w:ascii="Bookman Old Style" w:eastAsia="Arial" w:hAnsi="Bookman Old Style" w:cs="Arial"/>
          <w:sz w:val="24"/>
          <w:szCs w:val="24"/>
        </w:rPr>
      </w:pPr>
    </w:p>
    <w:p w14:paraId="0BD57451" w14:textId="1C0AF20B" w:rsidR="00635F00" w:rsidRDefault="00493D7A" w:rsidP="00635F00">
      <w:pPr>
        <w:pStyle w:val="NoSpacing"/>
        <w:suppressAutoHyphens/>
        <w:jc w:val="both"/>
        <w:rPr>
          <w:rFonts w:ascii="Bookman Old Style" w:hAnsi="Bookman Old Style"/>
          <w:sz w:val="24"/>
          <w:szCs w:val="24"/>
        </w:rPr>
      </w:pPr>
      <w:r w:rsidRPr="00501223">
        <w:rPr>
          <w:rFonts w:ascii="Bookman Old Style" w:hAnsi="Bookman Old Style"/>
          <w:sz w:val="24"/>
          <w:szCs w:val="24"/>
        </w:rPr>
        <w:t>Having x-rayed the factors affecting the full, continuous and sustained implementation of the EEG scheme, the following can be adopted to resolve the impasse:</w:t>
      </w:r>
    </w:p>
    <w:p w14:paraId="6AF4444B" w14:textId="77777777" w:rsidR="00FE43AD" w:rsidRDefault="00FE43AD" w:rsidP="00635F00">
      <w:pPr>
        <w:pStyle w:val="NoSpacing"/>
        <w:suppressAutoHyphens/>
        <w:jc w:val="both"/>
        <w:rPr>
          <w:rFonts w:ascii="Bookman Old Style" w:hAnsi="Bookman Old Style"/>
          <w:sz w:val="24"/>
          <w:szCs w:val="24"/>
        </w:rPr>
      </w:pPr>
    </w:p>
    <w:p w14:paraId="70335FA7" w14:textId="2E3E51CC" w:rsidR="00493D7A" w:rsidRPr="00635F00" w:rsidRDefault="00635F00" w:rsidP="00635F00">
      <w:pPr>
        <w:pStyle w:val="NoSpacing"/>
        <w:suppressAutoHyphens/>
        <w:spacing w:after="0"/>
        <w:jc w:val="both"/>
        <w:rPr>
          <w:rFonts w:ascii="Bookman Old Style" w:eastAsia="Arial" w:hAnsi="Bookman Old Style" w:cs="Arial"/>
          <w:b/>
          <w:color w:val="auto"/>
          <w:sz w:val="24"/>
          <w:szCs w:val="24"/>
        </w:rPr>
      </w:pPr>
      <w:r w:rsidRPr="00635F00">
        <w:rPr>
          <w:rFonts w:ascii="Bookman Old Style" w:hAnsi="Bookman Old Style"/>
          <w:b/>
          <w:color w:val="auto"/>
          <w:sz w:val="24"/>
          <w:szCs w:val="24"/>
        </w:rPr>
        <w:t>4.</w:t>
      </w:r>
      <w:r w:rsidR="00FE43AD">
        <w:rPr>
          <w:rFonts w:ascii="Bookman Old Style" w:hAnsi="Bookman Old Style"/>
          <w:b/>
          <w:color w:val="auto"/>
          <w:sz w:val="24"/>
          <w:szCs w:val="24"/>
        </w:rPr>
        <w:t>5</w:t>
      </w:r>
      <w:r w:rsidRPr="00635F00">
        <w:rPr>
          <w:rFonts w:ascii="Bookman Old Style" w:hAnsi="Bookman Old Style"/>
          <w:b/>
          <w:color w:val="auto"/>
          <w:sz w:val="24"/>
          <w:szCs w:val="24"/>
        </w:rPr>
        <w:t xml:space="preserve"> </w:t>
      </w:r>
      <w:r w:rsidR="00493D7A" w:rsidRPr="00635F00">
        <w:rPr>
          <w:rFonts w:ascii="Bookman Old Style" w:hAnsi="Bookman Old Style"/>
          <w:b/>
          <w:color w:val="auto"/>
          <w:sz w:val="24"/>
          <w:szCs w:val="24"/>
          <w:u w:color="499BC9"/>
        </w:rPr>
        <w:t>Renegotiate unutilized NDCCs and Claims-in-the-Pipeline</w:t>
      </w:r>
    </w:p>
    <w:p w14:paraId="7DE98B84" w14:textId="77777777" w:rsidR="00493D7A" w:rsidRPr="00501223" w:rsidRDefault="00493D7A" w:rsidP="00493D7A">
      <w:pPr>
        <w:pStyle w:val="NoSpacing"/>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Nigerian exporters have always demonstrated a strong understanding of the challenges faced by Government and are never averse to making sacrifices when called upon to do so.</w:t>
      </w:r>
    </w:p>
    <w:p w14:paraId="7EB0640C" w14:textId="77777777" w:rsidR="00823548" w:rsidRDefault="00493D7A" w:rsidP="00823548">
      <w:pPr>
        <w:pStyle w:val="NoSpacing"/>
        <w:suppressAutoHyphens/>
        <w:spacing w:line="276" w:lineRule="auto"/>
        <w:jc w:val="both"/>
        <w:rPr>
          <w:rFonts w:ascii="Bookman Old Style" w:hAnsi="Bookman Old Style"/>
          <w:sz w:val="24"/>
          <w:szCs w:val="24"/>
        </w:rPr>
      </w:pPr>
      <w:r w:rsidRPr="00501223">
        <w:rPr>
          <w:rFonts w:ascii="Bookman Old Style" w:hAnsi="Bookman Old Style"/>
          <w:sz w:val="24"/>
          <w:szCs w:val="24"/>
        </w:rPr>
        <w:t xml:space="preserve">Government must understand that until the Export Incentives and Miscellaneous Act (Cap.18) is rescinded, the EEG remains a binding contract between her and the exporting companies.  The exposure profile will continue to increase until there is a firm resolution.  It is therefore imperative that the new administration sets up a machinery, as urgently as feasible, to discuss and negotiate an acceptable one-time clearance for all export grants and outstanding and unutilsed NDCCs (processed and in process) for exports up till September, 2015.  Conditions for mutual agreement will be set by the joint committee to be set up for the purpose. </w:t>
      </w:r>
    </w:p>
    <w:p w14:paraId="43526C5D" w14:textId="77777777" w:rsidR="00FE43AD" w:rsidRDefault="00FE43AD" w:rsidP="00823548">
      <w:pPr>
        <w:pStyle w:val="NoSpacing"/>
        <w:suppressAutoHyphens/>
        <w:spacing w:after="0" w:line="276" w:lineRule="auto"/>
        <w:jc w:val="both"/>
        <w:rPr>
          <w:rFonts w:ascii="Bookman Old Style" w:hAnsi="Bookman Old Style"/>
          <w:b/>
          <w:color w:val="auto"/>
          <w:sz w:val="24"/>
          <w:szCs w:val="24"/>
          <w:u w:color="499BC9"/>
        </w:rPr>
      </w:pPr>
    </w:p>
    <w:p w14:paraId="0D18532E" w14:textId="660F8C95" w:rsidR="00493D7A" w:rsidRPr="00823548" w:rsidRDefault="00FE43AD" w:rsidP="00823548">
      <w:pPr>
        <w:pStyle w:val="NoSpacing"/>
        <w:suppressAutoHyphens/>
        <w:spacing w:after="0" w:line="276" w:lineRule="auto"/>
        <w:jc w:val="both"/>
        <w:rPr>
          <w:rFonts w:ascii="Bookman Old Style" w:eastAsia="Arial" w:hAnsi="Bookman Old Style" w:cs="Arial"/>
          <w:b/>
          <w:bCs/>
          <w:color w:val="auto"/>
          <w:sz w:val="24"/>
          <w:szCs w:val="24"/>
        </w:rPr>
      </w:pPr>
      <w:r>
        <w:rPr>
          <w:rFonts w:ascii="Bookman Old Style" w:hAnsi="Bookman Old Style"/>
          <w:b/>
          <w:color w:val="auto"/>
          <w:sz w:val="24"/>
          <w:szCs w:val="24"/>
          <w:u w:color="499BC9"/>
        </w:rPr>
        <w:t>4.6</w:t>
      </w:r>
      <w:r w:rsidR="00823548" w:rsidRPr="00823548">
        <w:rPr>
          <w:rFonts w:ascii="Bookman Old Style" w:hAnsi="Bookman Old Style"/>
          <w:b/>
          <w:color w:val="auto"/>
          <w:sz w:val="24"/>
          <w:szCs w:val="24"/>
          <w:u w:color="499BC9"/>
        </w:rPr>
        <w:t xml:space="preserve"> </w:t>
      </w:r>
      <w:r w:rsidR="00493D7A" w:rsidRPr="00823548">
        <w:rPr>
          <w:rFonts w:ascii="Bookman Old Style" w:hAnsi="Bookman Old Style"/>
          <w:b/>
          <w:color w:val="auto"/>
          <w:sz w:val="24"/>
          <w:szCs w:val="24"/>
          <w:u w:color="499BC9"/>
        </w:rPr>
        <w:t>Policy Stability and Continuity</w:t>
      </w:r>
    </w:p>
    <w:p w14:paraId="793BD2F7" w14:textId="77777777" w:rsidR="00493D7A" w:rsidRPr="00501223" w:rsidRDefault="00493D7A" w:rsidP="00493D7A">
      <w:pPr>
        <w:pStyle w:val="NoSpacing"/>
        <w:suppressAutoHyphens/>
        <w:jc w:val="both"/>
        <w:rPr>
          <w:rFonts w:ascii="Bookman Old Style" w:eastAsia="Arial" w:hAnsi="Bookman Old Style" w:cs="Arial"/>
          <w:sz w:val="24"/>
          <w:szCs w:val="24"/>
        </w:rPr>
      </w:pPr>
      <w:r w:rsidRPr="00501223">
        <w:rPr>
          <w:rFonts w:ascii="Bookman Old Style" w:hAnsi="Bookman Old Style"/>
          <w:sz w:val="24"/>
          <w:szCs w:val="24"/>
        </w:rPr>
        <w:lastRenderedPageBreak/>
        <w:t>Going forward, whilst it is appreciated that the operation of EEG has an impact on the cash flow of the Federal Government, it becomes imperative that an incentive scheme, which is consistent with the drive to improve fiscal receipts from non-oil sources without eroding the level of those receipts through cash payouts, should be developed.</w:t>
      </w:r>
    </w:p>
    <w:p w14:paraId="071943F9" w14:textId="58635C0D" w:rsidR="00493D7A" w:rsidRDefault="00493D7A" w:rsidP="00493D7A">
      <w:pPr>
        <w:pStyle w:val="NoSpacing"/>
        <w:suppressAutoHyphens/>
        <w:spacing w:line="276" w:lineRule="auto"/>
        <w:jc w:val="both"/>
        <w:rPr>
          <w:rFonts w:ascii="Bookman Old Style" w:hAnsi="Bookman Old Style"/>
          <w:sz w:val="24"/>
          <w:szCs w:val="24"/>
        </w:rPr>
      </w:pPr>
      <w:r w:rsidRPr="00501223">
        <w:rPr>
          <w:rFonts w:ascii="Bookman Old Style" w:hAnsi="Bookman Old Style"/>
          <w:sz w:val="24"/>
          <w:szCs w:val="24"/>
        </w:rPr>
        <w:t>Policy instability and discontinuity have crippled the non-oil export sector is affecting Nigeria’s image as a reliable international trading partner.</w:t>
      </w:r>
    </w:p>
    <w:p w14:paraId="76CF4D04" w14:textId="031F98EB" w:rsidR="00823548" w:rsidRPr="00823548" w:rsidRDefault="00823548" w:rsidP="00823548">
      <w:pPr>
        <w:pBdr>
          <w:top w:val="nil"/>
          <w:left w:val="nil"/>
          <w:bottom w:val="nil"/>
          <w:right w:val="nil"/>
          <w:between w:val="nil"/>
          <w:bar w:val="nil"/>
        </w:pBdr>
        <w:suppressAutoHyphens/>
        <w:spacing w:after="0" w:line="240" w:lineRule="auto"/>
        <w:jc w:val="both"/>
        <w:rPr>
          <w:rFonts w:ascii="Bookman Old Style" w:eastAsia="Arial" w:hAnsi="Bookman Old Style" w:cs="Arial"/>
          <w:b/>
          <w:color w:val="000000"/>
          <w:sz w:val="24"/>
          <w:szCs w:val="24"/>
          <w:u w:color="000000"/>
          <w:bdr w:val="nil"/>
          <w:lang w:val="en-US" w:eastAsia="en-GB"/>
        </w:rPr>
      </w:pPr>
      <w:r>
        <w:rPr>
          <w:rFonts w:ascii="Bookman Old Style" w:eastAsia="Calibri" w:hAnsi="Bookman Old Style" w:cs="Calibri"/>
          <w:b/>
          <w:color w:val="000000"/>
          <w:sz w:val="24"/>
          <w:szCs w:val="24"/>
          <w:u w:color="000000"/>
          <w:bdr w:val="nil"/>
          <w:lang w:val="en-US" w:eastAsia="en-GB"/>
        </w:rPr>
        <w:t xml:space="preserve">Figure </w:t>
      </w:r>
      <w:r w:rsidR="00F56C68">
        <w:rPr>
          <w:rFonts w:ascii="Bookman Old Style" w:eastAsia="Calibri" w:hAnsi="Bookman Old Style" w:cs="Calibri"/>
          <w:b/>
          <w:color w:val="000000"/>
          <w:sz w:val="24"/>
          <w:szCs w:val="24"/>
          <w:u w:color="000000"/>
          <w:bdr w:val="nil"/>
          <w:lang w:val="en-US" w:eastAsia="en-GB"/>
        </w:rPr>
        <w:t>10</w:t>
      </w:r>
      <w:r>
        <w:rPr>
          <w:rFonts w:ascii="Bookman Old Style" w:eastAsia="Calibri" w:hAnsi="Bookman Old Style" w:cs="Calibri"/>
          <w:b/>
          <w:color w:val="000000"/>
          <w:sz w:val="24"/>
          <w:szCs w:val="24"/>
          <w:u w:color="000000"/>
          <w:bdr w:val="nil"/>
          <w:lang w:val="en-US" w:eastAsia="en-GB"/>
        </w:rPr>
        <w:t>: Policy on EEG (2005-2011)</w:t>
      </w:r>
    </w:p>
    <w:p w14:paraId="6F514CD8" w14:textId="77777777" w:rsidR="00493D7A" w:rsidRPr="00501223" w:rsidRDefault="00493D7A" w:rsidP="00493D7A">
      <w:pPr>
        <w:pStyle w:val="Body"/>
        <w:rPr>
          <w:rFonts w:ascii="Bookman Old Style" w:hAnsi="Bookman Old Style"/>
        </w:rPr>
      </w:pPr>
      <w:r w:rsidRPr="00501223">
        <w:rPr>
          <w:rFonts w:ascii="Bookman Old Style" w:eastAsia="Arial" w:hAnsi="Bookman Old Style" w:cs="Arial"/>
          <w:noProof/>
          <w:sz w:val="24"/>
          <w:szCs w:val="24"/>
          <w:lang w:val="en-GB"/>
        </w:rPr>
        <w:drawing>
          <wp:inline distT="0" distB="0" distL="0" distR="0" wp14:anchorId="492FC9AB" wp14:editId="4958724C">
            <wp:extent cx="5727701" cy="3024789"/>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ng"/>
                    <pic:cNvPicPr>
                      <a:picLocks noChangeAspect="1"/>
                    </pic:cNvPicPr>
                  </pic:nvPicPr>
                  <pic:blipFill>
                    <a:blip r:embed="rId20">
                      <a:extLst/>
                    </a:blip>
                    <a:stretch>
                      <a:fillRect/>
                    </a:stretch>
                  </pic:blipFill>
                  <pic:spPr>
                    <a:xfrm>
                      <a:off x="0" y="0"/>
                      <a:ext cx="5727701" cy="3024789"/>
                    </a:xfrm>
                    <a:prstGeom prst="rect">
                      <a:avLst/>
                    </a:prstGeom>
                    <a:ln w="12700" cap="flat">
                      <a:noFill/>
                      <a:miter lim="400000"/>
                    </a:ln>
                    <a:effectLst/>
                  </pic:spPr>
                </pic:pic>
              </a:graphicData>
            </a:graphic>
          </wp:inline>
        </w:drawing>
      </w:r>
    </w:p>
    <w:p w14:paraId="1CFDECD0" w14:textId="77777777" w:rsidR="00493D7A" w:rsidRPr="00501223" w:rsidRDefault="00493D7A" w:rsidP="00493D7A">
      <w:pPr>
        <w:pStyle w:val="Body"/>
        <w:rPr>
          <w:rFonts w:ascii="Bookman Old Style" w:hAnsi="Bookman Old Style"/>
        </w:rPr>
      </w:pPr>
    </w:p>
    <w:p w14:paraId="2BE7064D" w14:textId="77777777" w:rsidR="00635F00" w:rsidRDefault="00493D7A" w:rsidP="00635F00">
      <w:pPr>
        <w:pStyle w:val="NoSpacing"/>
        <w:suppressAutoHyphens/>
        <w:jc w:val="both"/>
        <w:rPr>
          <w:rFonts w:ascii="Bookman Old Style" w:hAnsi="Bookman Old Style"/>
          <w:sz w:val="24"/>
          <w:szCs w:val="24"/>
        </w:rPr>
      </w:pPr>
      <w:r w:rsidRPr="00501223">
        <w:rPr>
          <w:rFonts w:ascii="Bookman Old Style" w:hAnsi="Bookman Old Style"/>
          <w:sz w:val="24"/>
          <w:szCs w:val="24"/>
        </w:rPr>
        <w:t>The existing policy should be continued and reviewed to make it more effective towards the realization of the new ad</w:t>
      </w:r>
      <w:r w:rsidR="00635F00">
        <w:rPr>
          <w:rFonts w:ascii="Bookman Old Style" w:hAnsi="Bookman Old Style"/>
          <w:sz w:val="24"/>
          <w:szCs w:val="24"/>
        </w:rPr>
        <w:t>ministration’s economic agenda.</w:t>
      </w:r>
    </w:p>
    <w:p w14:paraId="12245A67" w14:textId="77777777" w:rsidR="00635F00" w:rsidRDefault="00635F00" w:rsidP="00635F00">
      <w:pPr>
        <w:pStyle w:val="NoSpacing"/>
        <w:suppressAutoHyphens/>
        <w:jc w:val="both"/>
        <w:rPr>
          <w:rFonts w:ascii="Bookman Old Style" w:hAnsi="Bookman Old Style"/>
          <w:sz w:val="24"/>
          <w:szCs w:val="24"/>
        </w:rPr>
      </w:pPr>
    </w:p>
    <w:p w14:paraId="79245F3A" w14:textId="4A70E415" w:rsidR="00493D7A" w:rsidRPr="00635F00" w:rsidRDefault="00635F00" w:rsidP="00635F00">
      <w:pPr>
        <w:pStyle w:val="NoSpacing"/>
        <w:suppressAutoHyphens/>
        <w:spacing w:after="0"/>
        <w:jc w:val="both"/>
        <w:rPr>
          <w:rFonts w:ascii="Bookman Old Style" w:eastAsia="Arial" w:hAnsi="Bookman Old Style" w:cs="Arial"/>
          <w:color w:val="auto"/>
          <w:sz w:val="24"/>
          <w:szCs w:val="24"/>
        </w:rPr>
      </w:pPr>
      <w:r w:rsidRPr="00635F00">
        <w:rPr>
          <w:rFonts w:ascii="Bookman Old Style" w:hAnsi="Bookman Old Style"/>
          <w:b/>
          <w:color w:val="auto"/>
          <w:sz w:val="24"/>
          <w:szCs w:val="24"/>
        </w:rPr>
        <w:t>4.7</w:t>
      </w:r>
      <w:r w:rsidRPr="00635F00">
        <w:rPr>
          <w:rFonts w:ascii="Bookman Old Style" w:hAnsi="Bookman Old Style"/>
          <w:color w:val="auto"/>
          <w:sz w:val="24"/>
          <w:szCs w:val="24"/>
        </w:rPr>
        <w:t xml:space="preserve"> </w:t>
      </w:r>
      <w:r w:rsidR="00493D7A" w:rsidRPr="00635F00">
        <w:rPr>
          <w:rFonts w:ascii="Bookman Old Style" w:hAnsi="Bookman Old Style"/>
          <w:b/>
          <w:bCs/>
          <w:color w:val="auto"/>
          <w:sz w:val="24"/>
          <w:szCs w:val="24"/>
          <w:u w:color="499BC9"/>
        </w:rPr>
        <w:t>Involving the State Governments</w:t>
      </w:r>
    </w:p>
    <w:p w14:paraId="03662644" w14:textId="77777777" w:rsidR="00493D7A" w:rsidRPr="00501223" w:rsidRDefault="00493D7A" w:rsidP="00493D7A">
      <w:pPr>
        <w:pStyle w:val="NoSpacing"/>
        <w:suppressAutoHyphens/>
        <w:spacing w:before="60"/>
        <w:jc w:val="both"/>
        <w:rPr>
          <w:rFonts w:ascii="Bookman Old Style" w:eastAsia="Arial" w:hAnsi="Bookman Old Style" w:cs="Arial"/>
          <w:sz w:val="24"/>
          <w:szCs w:val="24"/>
        </w:rPr>
      </w:pPr>
      <w:r w:rsidRPr="00501223">
        <w:rPr>
          <w:rFonts w:ascii="Bookman Old Style" w:hAnsi="Bookman Old Style"/>
          <w:sz w:val="24"/>
          <w:szCs w:val="24"/>
        </w:rPr>
        <w:t xml:space="preserve">The reality of the Nigerian situation is that the production/manufacturing activities of exporters are located within the business landscape of the respective States in which they are operating.  This has a direct implication for the involvement of State Governments as partners of the Federal Government in developing a non-oil export-driven economy.  Extending export promotion responsibilities to States (and even the LGAs) will help to reduce cost and increase competitiveness.  </w:t>
      </w:r>
    </w:p>
    <w:p w14:paraId="08D280CD" w14:textId="77777777" w:rsidR="00635F00" w:rsidRDefault="00493D7A" w:rsidP="00635F00">
      <w:pPr>
        <w:pStyle w:val="NoSpacing"/>
        <w:suppressAutoHyphens/>
        <w:jc w:val="both"/>
        <w:rPr>
          <w:rFonts w:ascii="Bookman Old Style" w:hAnsi="Bookman Old Style"/>
          <w:sz w:val="24"/>
          <w:szCs w:val="24"/>
        </w:rPr>
      </w:pPr>
      <w:r w:rsidRPr="00501223">
        <w:rPr>
          <w:rFonts w:ascii="Bookman Old Style" w:hAnsi="Bookman Old Style"/>
          <w:sz w:val="24"/>
          <w:szCs w:val="24"/>
        </w:rPr>
        <w:t xml:space="preserve">Already, the NEPC Act empowers the Council to establish State Committees on Export Promotion.  It is therefore desirable that, at National Council of States level, the Vice President, as head of the nations’ Economic Team, </w:t>
      </w:r>
      <w:r w:rsidRPr="00501223">
        <w:rPr>
          <w:rFonts w:ascii="Bookman Old Style" w:hAnsi="Bookman Old Style"/>
          <w:sz w:val="24"/>
          <w:szCs w:val="24"/>
        </w:rPr>
        <w:lastRenderedPageBreak/>
        <w:t>cultivates the participation of the States.  NEPC, on the other hand, should be mandated to revive the State Committees.</w:t>
      </w:r>
    </w:p>
    <w:p w14:paraId="5B876EC8" w14:textId="001D682C" w:rsidR="00635F00" w:rsidRDefault="00635F00" w:rsidP="00635F00">
      <w:pPr>
        <w:pStyle w:val="NoSpacing"/>
        <w:suppressAutoHyphens/>
        <w:jc w:val="both"/>
        <w:rPr>
          <w:rFonts w:ascii="Bookman Old Style" w:hAnsi="Bookman Old Style"/>
          <w:b/>
          <w:color w:val="auto"/>
          <w:sz w:val="24"/>
          <w:szCs w:val="24"/>
        </w:rPr>
      </w:pPr>
    </w:p>
    <w:p w14:paraId="4675EC48" w14:textId="7BBEA330" w:rsidR="00493D7A" w:rsidRPr="00635F00" w:rsidRDefault="00635F00" w:rsidP="00635F00">
      <w:pPr>
        <w:pStyle w:val="NoSpacing"/>
        <w:suppressAutoHyphens/>
        <w:jc w:val="both"/>
        <w:rPr>
          <w:rFonts w:ascii="Bookman Old Style" w:eastAsia="Arial" w:hAnsi="Bookman Old Style" w:cs="Arial"/>
          <w:b/>
          <w:color w:val="auto"/>
          <w:sz w:val="24"/>
          <w:szCs w:val="24"/>
        </w:rPr>
      </w:pPr>
      <w:r w:rsidRPr="00635F00">
        <w:rPr>
          <w:rFonts w:ascii="Bookman Old Style" w:hAnsi="Bookman Old Style"/>
          <w:b/>
          <w:color w:val="auto"/>
          <w:sz w:val="24"/>
          <w:szCs w:val="24"/>
        </w:rPr>
        <w:t xml:space="preserve">4.8 </w:t>
      </w:r>
      <w:r w:rsidR="00493D7A" w:rsidRPr="00635F00">
        <w:rPr>
          <w:rFonts w:ascii="Bookman Old Style" w:hAnsi="Bookman Old Style"/>
          <w:b/>
          <w:color w:val="auto"/>
          <w:sz w:val="24"/>
          <w:szCs w:val="24"/>
          <w:u w:color="2F759E"/>
          <w:lang w:val="fr-FR"/>
        </w:rPr>
        <w:t>Recommendation</w:t>
      </w:r>
    </w:p>
    <w:p w14:paraId="34F65B0D" w14:textId="3E4C050D" w:rsidR="00493D7A" w:rsidRPr="00635F00" w:rsidRDefault="00493D7A" w:rsidP="00635F00">
      <w:pPr>
        <w:pStyle w:val="BodyC"/>
        <w:numPr>
          <w:ilvl w:val="0"/>
          <w:numId w:val="41"/>
        </w:numPr>
        <w:suppressAutoHyphens/>
        <w:spacing w:after="0"/>
        <w:jc w:val="both"/>
        <w:rPr>
          <w:rFonts w:ascii="Bookman Old Style" w:eastAsia="Arial" w:hAnsi="Bookman Old Style" w:cs="Arial"/>
          <w:b/>
          <w:bCs/>
        </w:rPr>
      </w:pPr>
      <w:r w:rsidRPr="00635F00">
        <w:rPr>
          <w:rFonts w:ascii="Bookman Old Style" w:hAnsi="Bookman Old Style"/>
          <w:b/>
          <w:bCs/>
        </w:rPr>
        <w:t>S</w:t>
      </w:r>
      <w:r w:rsidR="00635F00" w:rsidRPr="00635F00">
        <w:rPr>
          <w:rFonts w:ascii="Bookman Old Style" w:hAnsi="Bookman Old Style"/>
          <w:b/>
          <w:bCs/>
        </w:rPr>
        <w:t>hort Term (6 Months)</w:t>
      </w:r>
    </w:p>
    <w:p w14:paraId="6A0FDF4E" w14:textId="4453948B" w:rsidR="00493D7A" w:rsidRPr="00635F00" w:rsidRDefault="00635F00" w:rsidP="00635F00">
      <w:pPr>
        <w:pStyle w:val="BodyC"/>
        <w:suppressAutoHyphens/>
        <w:spacing w:after="0"/>
        <w:jc w:val="both"/>
        <w:rPr>
          <w:rFonts w:ascii="Bookman Old Style" w:eastAsia="Arial" w:hAnsi="Bookman Old Style" w:cs="Arial"/>
          <w:b/>
          <w:bCs/>
        </w:rPr>
      </w:pPr>
      <w:r w:rsidRPr="00635F00">
        <w:rPr>
          <w:rFonts w:ascii="Bookman Old Style" w:hAnsi="Bookman Old Style"/>
          <w:b/>
          <w:bCs/>
        </w:rPr>
        <w:t>Claims up to December 2013</w:t>
      </w:r>
    </w:p>
    <w:p w14:paraId="7DF6AE84" w14:textId="093DFE4B" w:rsidR="00493D7A" w:rsidRPr="00501223" w:rsidRDefault="00493D7A" w:rsidP="00493D7A">
      <w:pPr>
        <w:pStyle w:val="BodyC"/>
        <w:numPr>
          <w:ilvl w:val="0"/>
          <w:numId w:val="43"/>
        </w:numPr>
        <w:suppressAutoHyphens/>
        <w:jc w:val="both"/>
        <w:rPr>
          <w:rFonts w:ascii="Bookman Old Style" w:eastAsia="Arial" w:hAnsi="Bookman Old Style" w:cs="Arial"/>
        </w:rPr>
      </w:pPr>
      <w:r w:rsidRPr="00501223">
        <w:rPr>
          <w:rFonts w:ascii="Bookman Old Style" w:hAnsi="Bookman Old Style"/>
        </w:rPr>
        <w:t>Impact assessment of the EEG Scheme on the economy and effect of the suspension on the export statistics:  Ministry</w:t>
      </w:r>
      <w:r w:rsidR="00D11CFF">
        <w:rPr>
          <w:rFonts w:ascii="Bookman Old Style" w:hAnsi="Bookman Old Style"/>
        </w:rPr>
        <w:t xml:space="preserve"> of Finance, CBN, Federal </w:t>
      </w:r>
      <w:r w:rsidRPr="00501223">
        <w:rPr>
          <w:rFonts w:ascii="Bookman Old Style" w:hAnsi="Bookman Old Style"/>
        </w:rPr>
        <w:t xml:space="preserve">Bureau of Statistics. </w:t>
      </w:r>
    </w:p>
    <w:p w14:paraId="7B91EF77" w14:textId="77777777" w:rsidR="00493D7A" w:rsidRPr="00501223" w:rsidRDefault="00493D7A" w:rsidP="00493D7A">
      <w:pPr>
        <w:pStyle w:val="BodyC"/>
        <w:numPr>
          <w:ilvl w:val="0"/>
          <w:numId w:val="44"/>
        </w:numPr>
        <w:suppressAutoHyphens/>
        <w:jc w:val="both"/>
        <w:rPr>
          <w:rFonts w:ascii="Bookman Old Style" w:eastAsia="Arial" w:hAnsi="Bookman Old Style" w:cs="Arial"/>
        </w:rPr>
      </w:pPr>
      <w:r w:rsidRPr="00501223">
        <w:rPr>
          <w:rFonts w:ascii="Bookman Old Style" w:hAnsi="Bookman Old Style"/>
        </w:rPr>
        <w:t>Review status of NDCCs and EEG applications:</w:t>
      </w:r>
    </w:p>
    <w:p w14:paraId="289CAFA1" w14:textId="77777777" w:rsidR="00493D7A" w:rsidRPr="00501223" w:rsidRDefault="00493D7A" w:rsidP="00493D7A">
      <w:pPr>
        <w:pStyle w:val="BodyC"/>
        <w:numPr>
          <w:ilvl w:val="1"/>
          <w:numId w:val="44"/>
        </w:numPr>
        <w:suppressAutoHyphens/>
        <w:jc w:val="both"/>
        <w:rPr>
          <w:rFonts w:ascii="Bookman Old Style" w:eastAsia="Arial" w:hAnsi="Bookman Old Style" w:cs="Arial"/>
        </w:rPr>
      </w:pPr>
      <w:r w:rsidRPr="00501223">
        <w:rPr>
          <w:rFonts w:ascii="Bookman Old Style" w:hAnsi="Bookman Old Style"/>
        </w:rPr>
        <w:t>Value of NDCCs held by exporters</w:t>
      </w:r>
    </w:p>
    <w:p w14:paraId="1E0A6FA8" w14:textId="77777777" w:rsidR="00493D7A" w:rsidRPr="00501223" w:rsidRDefault="00493D7A" w:rsidP="00493D7A">
      <w:pPr>
        <w:pStyle w:val="BodyC"/>
        <w:numPr>
          <w:ilvl w:val="1"/>
          <w:numId w:val="44"/>
        </w:numPr>
        <w:suppressAutoHyphens/>
        <w:jc w:val="both"/>
        <w:rPr>
          <w:rFonts w:ascii="Bookman Old Style" w:eastAsia="Arial" w:hAnsi="Bookman Old Style" w:cs="Arial"/>
        </w:rPr>
      </w:pPr>
      <w:r w:rsidRPr="00501223">
        <w:rPr>
          <w:rFonts w:ascii="Bookman Old Style" w:hAnsi="Bookman Old Style"/>
        </w:rPr>
        <w:t>Value of approved certificates awaiting signature and release by Ministry of Finance.</w:t>
      </w:r>
    </w:p>
    <w:p w14:paraId="116A5467" w14:textId="77777777" w:rsidR="00493D7A" w:rsidRPr="00501223" w:rsidRDefault="00493D7A" w:rsidP="00493D7A">
      <w:pPr>
        <w:pStyle w:val="BodyC"/>
        <w:numPr>
          <w:ilvl w:val="1"/>
          <w:numId w:val="44"/>
        </w:numPr>
        <w:suppressAutoHyphens/>
        <w:jc w:val="both"/>
        <w:rPr>
          <w:rFonts w:ascii="Bookman Old Style" w:eastAsia="Arial" w:hAnsi="Bookman Old Style" w:cs="Arial"/>
        </w:rPr>
      </w:pPr>
      <w:r w:rsidRPr="00501223">
        <w:rPr>
          <w:rFonts w:ascii="Bookman Old Style" w:hAnsi="Bookman Old Style"/>
        </w:rPr>
        <w:t>Value of EEG applications up to 2013 awaiting processing by NEPC.</w:t>
      </w:r>
    </w:p>
    <w:p w14:paraId="3734BB20" w14:textId="77777777" w:rsidR="00493D7A" w:rsidRPr="00501223" w:rsidRDefault="00493D7A" w:rsidP="00493D7A">
      <w:pPr>
        <w:pStyle w:val="BodyC"/>
        <w:numPr>
          <w:ilvl w:val="0"/>
          <w:numId w:val="43"/>
        </w:numPr>
        <w:suppressAutoHyphens/>
        <w:jc w:val="both"/>
        <w:rPr>
          <w:rFonts w:ascii="Bookman Old Style" w:eastAsia="Arial" w:hAnsi="Bookman Old Style" w:cs="Arial"/>
        </w:rPr>
      </w:pPr>
      <w:r w:rsidRPr="00501223">
        <w:rPr>
          <w:rFonts w:ascii="Bookman Old Style" w:hAnsi="Bookman Old Style"/>
        </w:rPr>
        <w:t>Based on above value, consider possible options to clear backlogs as follows:</w:t>
      </w:r>
    </w:p>
    <w:p w14:paraId="7CFB8DF1" w14:textId="77777777" w:rsidR="00493D7A" w:rsidRPr="00501223" w:rsidRDefault="00493D7A" w:rsidP="00493D7A">
      <w:pPr>
        <w:pStyle w:val="BodyC"/>
        <w:numPr>
          <w:ilvl w:val="1"/>
          <w:numId w:val="43"/>
        </w:numPr>
        <w:suppressAutoHyphens/>
        <w:spacing w:before="60"/>
        <w:jc w:val="both"/>
        <w:rPr>
          <w:rFonts w:ascii="Bookman Old Style" w:eastAsia="Arial" w:hAnsi="Bookman Old Style" w:cs="Arial"/>
        </w:rPr>
      </w:pPr>
      <w:r w:rsidRPr="00501223">
        <w:rPr>
          <w:rFonts w:ascii="Bookman Old Style" w:hAnsi="Bookman Old Style"/>
        </w:rPr>
        <w:t>Negotiate a percentage to be paid to all beneficiaries (between 30 to 60% based on availability of funds weighted against expected benefits to government).</w:t>
      </w:r>
    </w:p>
    <w:p w14:paraId="59815627" w14:textId="77777777" w:rsidR="00493D7A" w:rsidRPr="00501223" w:rsidRDefault="00493D7A" w:rsidP="00493D7A">
      <w:pPr>
        <w:pStyle w:val="BodyC"/>
        <w:numPr>
          <w:ilvl w:val="1"/>
          <w:numId w:val="43"/>
        </w:numPr>
        <w:suppressAutoHyphens/>
        <w:spacing w:before="60"/>
        <w:jc w:val="both"/>
        <w:rPr>
          <w:rFonts w:ascii="Bookman Old Style" w:eastAsia="Arial" w:hAnsi="Bookman Old Style" w:cs="Arial"/>
        </w:rPr>
      </w:pPr>
      <w:r w:rsidRPr="00501223">
        <w:rPr>
          <w:rFonts w:ascii="Bookman Old Style" w:hAnsi="Bookman Old Style"/>
        </w:rPr>
        <w:t>Effect the reduction of the maximum rate to 20%(or revise further to 15%) as proposed in the EEG review and re-calculate all entitlements at the new rates.  Also process all the pending applications on this basis.</w:t>
      </w:r>
    </w:p>
    <w:p w14:paraId="51D2FCE5" w14:textId="77777777" w:rsidR="00493D7A" w:rsidRPr="00501223" w:rsidRDefault="00493D7A" w:rsidP="00493D7A">
      <w:pPr>
        <w:pStyle w:val="BodyC"/>
        <w:numPr>
          <w:ilvl w:val="1"/>
          <w:numId w:val="43"/>
        </w:numPr>
        <w:suppressAutoHyphens/>
        <w:spacing w:before="60"/>
        <w:jc w:val="both"/>
        <w:rPr>
          <w:rFonts w:ascii="Bookman Old Style" w:eastAsia="Arial" w:hAnsi="Bookman Old Style" w:cs="Arial"/>
        </w:rPr>
      </w:pPr>
      <w:r w:rsidRPr="00501223">
        <w:rPr>
          <w:rFonts w:ascii="Bookman Old Style" w:hAnsi="Bookman Old Style"/>
        </w:rPr>
        <w:t>Consider giving up one export year as a sign of good will and support to government on the condition that urgent steps are taken to restructure and resume incentives in either the existing form with review or under a new structure altogether.</w:t>
      </w:r>
    </w:p>
    <w:p w14:paraId="263CB828" w14:textId="77777777" w:rsidR="00493D7A" w:rsidRPr="00501223" w:rsidRDefault="00493D7A" w:rsidP="00493D7A">
      <w:pPr>
        <w:pStyle w:val="BodyC"/>
        <w:numPr>
          <w:ilvl w:val="0"/>
          <w:numId w:val="45"/>
        </w:numPr>
        <w:suppressAutoHyphens/>
        <w:jc w:val="both"/>
        <w:rPr>
          <w:rFonts w:ascii="Bookman Old Style" w:eastAsia="Arial" w:hAnsi="Bookman Old Style" w:cs="Arial"/>
        </w:rPr>
      </w:pPr>
      <w:r w:rsidRPr="00501223">
        <w:rPr>
          <w:rFonts w:ascii="Bookman Old Style" w:hAnsi="Bookman Old Style"/>
        </w:rPr>
        <w:t>Based on the option adopted as above, agree a phased utilization of NDCCs with Nigeria Customs over a six month (or longer) period while longer term options are being finalized.</w:t>
      </w:r>
    </w:p>
    <w:p w14:paraId="02719DA4" w14:textId="77777777" w:rsidR="00493D7A" w:rsidRPr="00501223" w:rsidRDefault="00493D7A" w:rsidP="00493D7A">
      <w:pPr>
        <w:pStyle w:val="BodyC"/>
        <w:numPr>
          <w:ilvl w:val="0"/>
          <w:numId w:val="45"/>
        </w:numPr>
        <w:suppressAutoHyphens/>
        <w:jc w:val="both"/>
        <w:rPr>
          <w:rFonts w:ascii="Bookman Old Style" w:eastAsia="Arial" w:hAnsi="Bookman Old Style" w:cs="Arial"/>
        </w:rPr>
      </w:pPr>
      <w:r w:rsidRPr="00501223">
        <w:rPr>
          <w:rFonts w:ascii="Bookman Old Style" w:hAnsi="Bookman Old Style"/>
        </w:rPr>
        <w:t>To reduce pressure on Nigeria Customs, expand use of NDCCs to include payment of other government taxes and levies like Value Added Tax, Withholding Tax, etc</w:t>
      </w:r>
    </w:p>
    <w:p w14:paraId="716BC1CC" w14:textId="285CDE42" w:rsidR="00493D7A" w:rsidRPr="00635F00" w:rsidRDefault="00493D7A" w:rsidP="00635F00">
      <w:pPr>
        <w:pStyle w:val="BodyC"/>
        <w:suppressAutoHyphens/>
        <w:spacing w:after="0"/>
        <w:jc w:val="both"/>
        <w:rPr>
          <w:rFonts w:ascii="Bookman Old Style" w:eastAsia="Arial" w:hAnsi="Bookman Old Style" w:cs="Arial"/>
          <w:b/>
          <w:bCs/>
        </w:rPr>
      </w:pPr>
      <w:r w:rsidRPr="00635F00">
        <w:rPr>
          <w:rFonts w:ascii="Bookman Old Style" w:hAnsi="Bookman Old Style"/>
          <w:b/>
          <w:bCs/>
        </w:rPr>
        <w:t>Claims fro</w:t>
      </w:r>
      <w:r w:rsidR="00635F00" w:rsidRPr="00635F00">
        <w:rPr>
          <w:rFonts w:ascii="Bookman Old Style" w:hAnsi="Bookman Old Style"/>
          <w:b/>
          <w:bCs/>
        </w:rPr>
        <w:t>m January 2014 to December 2015</w:t>
      </w:r>
    </w:p>
    <w:p w14:paraId="4DF6A9C4" w14:textId="77777777" w:rsidR="00493D7A" w:rsidRPr="00501223" w:rsidRDefault="00493D7A" w:rsidP="00493D7A">
      <w:pPr>
        <w:pStyle w:val="BodyC"/>
        <w:suppressAutoHyphens/>
        <w:ind w:left="357"/>
        <w:jc w:val="both"/>
        <w:rPr>
          <w:rFonts w:ascii="Bookman Old Style" w:eastAsia="Arial" w:hAnsi="Bookman Old Style" w:cs="Arial"/>
        </w:rPr>
      </w:pPr>
      <w:r w:rsidRPr="00501223">
        <w:rPr>
          <w:rFonts w:ascii="Bookman Old Style" w:hAnsi="Bookman Old Style"/>
        </w:rPr>
        <w:t xml:space="preserve">Due to the stalemate in the Scheme since January 2014, NEPC has not invited Baseline Data and submission of applications from that period.  To fulfill the obligations to exporters as contained under the Export </w:t>
      </w:r>
      <w:r w:rsidRPr="00501223">
        <w:rPr>
          <w:rFonts w:ascii="Bookman Old Style" w:hAnsi="Bookman Old Style"/>
        </w:rPr>
        <w:lastRenderedPageBreak/>
        <w:t>Incentives Act, there is a need to urgently attend to this period while fine tuning the revised or new Scheme from 2016.</w:t>
      </w:r>
    </w:p>
    <w:p w14:paraId="0ADBAB62" w14:textId="77777777" w:rsidR="00493D7A" w:rsidRPr="00501223" w:rsidRDefault="00493D7A" w:rsidP="00493D7A">
      <w:pPr>
        <w:pStyle w:val="BodyC"/>
        <w:suppressAutoHyphens/>
        <w:ind w:left="360"/>
        <w:jc w:val="both"/>
        <w:rPr>
          <w:rFonts w:ascii="Bookman Old Style" w:eastAsia="Arial" w:hAnsi="Bookman Old Style" w:cs="Arial"/>
        </w:rPr>
      </w:pPr>
      <w:r w:rsidRPr="00501223">
        <w:rPr>
          <w:rFonts w:ascii="Bookman Old Style" w:hAnsi="Bookman Old Style"/>
        </w:rPr>
        <w:t>The issue of product categorization is very critical to sorting out the sustainability and affordability of the Scheme.  The Group notes as follows:</w:t>
      </w:r>
    </w:p>
    <w:p w14:paraId="284A86A6" w14:textId="77777777" w:rsidR="00493D7A" w:rsidRPr="00501223" w:rsidRDefault="00493D7A" w:rsidP="00493D7A">
      <w:pPr>
        <w:pStyle w:val="BodyC"/>
        <w:numPr>
          <w:ilvl w:val="0"/>
          <w:numId w:val="47"/>
        </w:numPr>
        <w:suppressAutoHyphens/>
        <w:spacing w:before="100" w:after="100"/>
        <w:jc w:val="both"/>
        <w:rPr>
          <w:rFonts w:ascii="Bookman Old Style" w:eastAsia="Arial" w:hAnsi="Bookman Old Style" w:cs="Arial"/>
        </w:rPr>
      </w:pPr>
      <w:r w:rsidRPr="00501223">
        <w:rPr>
          <w:rFonts w:ascii="Bookman Old Style" w:hAnsi="Bookman Old Style"/>
        </w:rPr>
        <w:t>The internationally accepted product categorization platform is the Harmonized System which has three categories:  finished products (20% maximum duty rate, except in cases like the ECOWAS CET where a fifth band of 35% is obtained); semi-processed products (10%) and raw materials (5%).</w:t>
      </w:r>
    </w:p>
    <w:p w14:paraId="4E1C630C" w14:textId="77777777" w:rsidR="00493D7A" w:rsidRPr="00501223" w:rsidRDefault="00493D7A" w:rsidP="00493D7A">
      <w:pPr>
        <w:pStyle w:val="BodyC"/>
        <w:numPr>
          <w:ilvl w:val="0"/>
          <w:numId w:val="47"/>
        </w:numPr>
        <w:suppressAutoHyphens/>
        <w:spacing w:before="100" w:after="100"/>
        <w:jc w:val="both"/>
        <w:rPr>
          <w:rFonts w:ascii="Bookman Old Style" w:eastAsia="Arial" w:hAnsi="Bookman Old Style" w:cs="Arial"/>
        </w:rPr>
      </w:pPr>
      <w:r w:rsidRPr="00501223">
        <w:rPr>
          <w:rFonts w:ascii="Bookman Old Style" w:hAnsi="Bookman Old Style"/>
        </w:rPr>
        <w:t>While the current Weighted Average Criteria may have served its purpose, we believe it is not sustainable in the longer term especially if the focus on growing value-added exports, by implication, finished products’ exports.  The existing qualifying criteria are based on the company structure rather than the product and gives room for high rates applied to non-value-added exports.</w:t>
      </w:r>
    </w:p>
    <w:p w14:paraId="3210ADE9" w14:textId="77777777" w:rsidR="00493D7A" w:rsidRPr="00501223" w:rsidRDefault="00493D7A" w:rsidP="00493D7A">
      <w:pPr>
        <w:pStyle w:val="BodyC"/>
        <w:numPr>
          <w:ilvl w:val="0"/>
          <w:numId w:val="47"/>
        </w:numPr>
        <w:suppressAutoHyphens/>
        <w:spacing w:before="100" w:after="100"/>
        <w:jc w:val="both"/>
        <w:rPr>
          <w:rFonts w:ascii="Bookman Old Style" w:eastAsia="Arial" w:hAnsi="Bookman Old Style" w:cs="Arial"/>
        </w:rPr>
      </w:pPr>
      <w:r w:rsidRPr="00501223">
        <w:rPr>
          <w:rFonts w:ascii="Bookman Old Style" w:hAnsi="Bookman Old Style"/>
        </w:rPr>
        <w:t>If this scheme is to be sustained, it is recommended that government applies the same principles in determining EEG rates for the different categories of exported products as follows:</w:t>
      </w:r>
    </w:p>
    <w:p w14:paraId="44EC825C" w14:textId="77777777" w:rsidR="00493D7A" w:rsidRPr="00501223" w:rsidRDefault="00493D7A" w:rsidP="00493D7A">
      <w:pPr>
        <w:pStyle w:val="BodyC"/>
        <w:numPr>
          <w:ilvl w:val="1"/>
          <w:numId w:val="49"/>
        </w:numPr>
        <w:suppressAutoHyphens/>
        <w:spacing w:before="100" w:after="100"/>
        <w:jc w:val="both"/>
        <w:rPr>
          <w:rFonts w:ascii="Bookman Old Style" w:eastAsia="Arial" w:hAnsi="Bookman Old Style" w:cs="Arial"/>
        </w:rPr>
      </w:pPr>
      <w:r w:rsidRPr="00501223">
        <w:rPr>
          <w:rFonts w:ascii="Bookman Old Style" w:hAnsi="Bookman Old Style"/>
        </w:rPr>
        <w:t>Finished goods – 20%</w:t>
      </w:r>
    </w:p>
    <w:p w14:paraId="4051DE89" w14:textId="77777777" w:rsidR="00493D7A" w:rsidRPr="00501223" w:rsidRDefault="00493D7A" w:rsidP="00493D7A">
      <w:pPr>
        <w:pStyle w:val="BodyC"/>
        <w:numPr>
          <w:ilvl w:val="1"/>
          <w:numId w:val="49"/>
        </w:numPr>
        <w:suppressAutoHyphens/>
        <w:spacing w:before="100" w:after="100"/>
        <w:jc w:val="both"/>
        <w:rPr>
          <w:rFonts w:ascii="Bookman Old Style" w:eastAsia="Arial" w:hAnsi="Bookman Old Style" w:cs="Arial"/>
        </w:rPr>
      </w:pPr>
      <w:r w:rsidRPr="00501223">
        <w:rPr>
          <w:rFonts w:ascii="Bookman Old Style" w:hAnsi="Bookman Old Style"/>
        </w:rPr>
        <w:t>Semi-finished/semi-processed goods – 10%</w:t>
      </w:r>
    </w:p>
    <w:p w14:paraId="1FD302D1" w14:textId="77777777" w:rsidR="00493D7A" w:rsidRPr="00501223" w:rsidRDefault="00493D7A" w:rsidP="00493D7A">
      <w:pPr>
        <w:pStyle w:val="BodyC"/>
        <w:numPr>
          <w:ilvl w:val="1"/>
          <w:numId w:val="49"/>
        </w:numPr>
        <w:suppressAutoHyphens/>
        <w:jc w:val="both"/>
        <w:rPr>
          <w:rFonts w:ascii="Bookman Old Style" w:eastAsia="Arial" w:hAnsi="Bookman Old Style" w:cs="Arial"/>
        </w:rPr>
      </w:pPr>
      <w:r w:rsidRPr="00501223">
        <w:rPr>
          <w:rFonts w:ascii="Bookman Old Style" w:hAnsi="Bookman Old Style"/>
        </w:rPr>
        <w:t>Raw materials/commodities – 5%</w:t>
      </w:r>
    </w:p>
    <w:p w14:paraId="7D1FC59E" w14:textId="77777777" w:rsidR="00493D7A" w:rsidRPr="00501223" w:rsidRDefault="00493D7A" w:rsidP="00493D7A">
      <w:pPr>
        <w:pStyle w:val="BodyC"/>
        <w:suppressAutoHyphens/>
        <w:spacing w:before="100" w:after="100"/>
        <w:jc w:val="both"/>
        <w:rPr>
          <w:rFonts w:ascii="Bookman Old Style" w:eastAsia="Arial" w:hAnsi="Bookman Old Style" w:cs="Arial"/>
          <w:b/>
          <w:bCs/>
          <w:sz w:val="28"/>
          <w:szCs w:val="28"/>
        </w:rPr>
      </w:pPr>
    </w:p>
    <w:p w14:paraId="46ED395B" w14:textId="22D000D3" w:rsidR="00493D7A" w:rsidRPr="00823548" w:rsidRDefault="00823548" w:rsidP="00493D7A">
      <w:pPr>
        <w:pStyle w:val="BodyC"/>
        <w:suppressAutoHyphens/>
        <w:spacing w:before="100" w:after="100"/>
        <w:jc w:val="both"/>
        <w:rPr>
          <w:rFonts w:ascii="Bookman Old Style" w:eastAsia="Arial" w:hAnsi="Bookman Old Style" w:cs="Arial"/>
          <w:b/>
          <w:bCs/>
        </w:rPr>
      </w:pPr>
      <w:r>
        <w:rPr>
          <w:rFonts w:ascii="Bookman Old Style" w:hAnsi="Bookman Old Style"/>
          <w:b/>
          <w:bCs/>
        </w:rPr>
        <w:t>B.  Medium Term: From 2016-2018</w:t>
      </w:r>
    </w:p>
    <w:p w14:paraId="15BE34BF" w14:textId="77777777" w:rsidR="00493D7A" w:rsidRPr="00501223" w:rsidRDefault="00493D7A" w:rsidP="00493D7A">
      <w:pPr>
        <w:pStyle w:val="BodyC"/>
        <w:numPr>
          <w:ilvl w:val="0"/>
          <w:numId w:val="51"/>
        </w:numPr>
        <w:suppressAutoHyphens/>
        <w:spacing w:before="100"/>
        <w:jc w:val="both"/>
        <w:rPr>
          <w:rFonts w:ascii="Bookman Old Style" w:eastAsia="Arial" w:hAnsi="Bookman Old Style" w:cs="Arial"/>
        </w:rPr>
      </w:pPr>
      <w:r w:rsidRPr="00501223">
        <w:rPr>
          <w:rFonts w:ascii="Bookman Old Style" w:hAnsi="Bookman Old Style"/>
        </w:rPr>
        <w:t>An Inter-ministerial Committee to urgently revisit and complete the review of the EEG Scheme - an exercise long overdue as it has been mandated by the Federal Executive Council since2010.</w:t>
      </w:r>
    </w:p>
    <w:p w14:paraId="3CFA5150" w14:textId="77777777" w:rsidR="00493D7A" w:rsidRPr="00501223" w:rsidRDefault="00493D7A" w:rsidP="00493D7A">
      <w:pPr>
        <w:pStyle w:val="BodyC"/>
        <w:numPr>
          <w:ilvl w:val="0"/>
          <w:numId w:val="51"/>
        </w:numPr>
        <w:suppressAutoHyphens/>
        <w:spacing w:before="100"/>
        <w:jc w:val="both"/>
        <w:rPr>
          <w:rFonts w:ascii="Bookman Old Style" w:eastAsia="Arial" w:hAnsi="Bookman Old Style" w:cs="Arial"/>
        </w:rPr>
      </w:pPr>
      <w:r w:rsidRPr="00501223">
        <w:rPr>
          <w:rFonts w:ascii="Bookman Old Style" w:hAnsi="Bookman Old Style"/>
        </w:rPr>
        <w:t>The review should emphasize the right product categorization clearly giving priority to value-added exports which underpins the industrialization and diversification plans of this administration.</w:t>
      </w:r>
    </w:p>
    <w:p w14:paraId="6A0E404D" w14:textId="77777777" w:rsidR="00493D7A" w:rsidRPr="00501223" w:rsidRDefault="00493D7A" w:rsidP="00493D7A">
      <w:pPr>
        <w:pStyle w:val="BodyC"/>
        <w:numPr>
          <w:ilvl w:val="0"/>
          <w:numId w:val="51"/>
        </w:numPr>
        <w:suppressAutoHyphens/>
        <w:spacing w:before="100"/>
        <w:jc w:val="both"/>
        <w:rPr>
          <w:rFonts w:ascii="Bookman Old Style" w:eastAsia="Arial" w:hAnsi="Bookman Old Style" w:cs="Arial"/>
        </w:rPr>
      </w:pPr>
      <w:r w:rsidRPr="00501223">
        <w:rPr>
          <w:rFonts w:ascii="Bookman Old Style" w:hAnsi="Bookman Old Style"/>
        </w:rPr>
        <w:t>Consider combining the EEG with some other export incentives as follows:</w:t>
      </w:r>
    </w:p>
    <w:p w14:paraId="3FC5CCCC" w14:textId="77777777" w:rsidR="00493D7A" w:rsidRPr="00501223" w:rsidRDefault="00493D7A" w:rsidP="00493D7A">
      <w:pPr>
        <w:pStyle w:val="BodyC"/>
        <w:numPr>
          <w:ilvl w:val="7"/>
          <w:numId w:val="51"/>
        </w:numPr>
        <w:suppressAutoHyphens/>
        <w:spacing w:before="60"/>
        <w:jc w:val="both"/>
        <w:rPr>
          <w:rFonts w:ascii="Bookman Old Style" w:eastAsia="Arial" w:hAnsi="Bookman Old Style" w:cs="Arial"/>
        </w:rPr>
      </w:pPr>
      <w:r w:rsidRPr="00501223">
        <w:rPr>
          <w:rFonts w:ascii="Bookman Old Style" w:hAnsi="Bookman Old Style"/>
        </w:rPr>
        <w:t>Finished goods exporters: 15-20% EEG + Duty Draw-back Scheme/MEIBS</w:t>
      </w:r>
    </w:p>
    <w:p w14:paraId="224E8D7F" w14:textId="77777777" w:rsidR="00493D7A" w:rsidRPr="00501223" w:rsidRDefault="00493D7A" w:rsidP="00493D7A">
      <w:pPr>
        <w:pStyle w:val="BodyC"/>
        <w:numPr>
          <w:ilvl w:val="6"/>
          <w:numId w:val="52"/>
        </w:numPr>
        <w:suppressAutoHyphens/>
        <w:spacing w:before="60"/>
        <w:jc w:val="both"/>
        <w:rPr>
          <w:rFonts w:ascii="Bookman Old Style" w:eastAsia="Arial" w:hAnsi="Bookman Old Style" w:cs="Arial"/>
        </w:rPr>
      </w:pPr>
      <w:r w:rsidRPr="00501223">
        <w:rPr>
          <w:rFonts w:ascii="Bookman Old Style" w:hAnsi="Bookman Old Style"/>
        </w:rPr>
        <w:t>Semi Processed:  10% EEG + Export Development Fund</w:t>
      </w:r>
    </w:p>
    <w:p w14:paraId="3A96FD61" w14:textId="77777777" w:rsidR="00493D7A" w:rsidRPr="00501223" w:rsidRDefault="00493D7A" w:rsidP="00493D7A">
      <w:pPr>
        <w:pStyle w:val="BodyC"/>
        <w:numPr>
          <w:ilvl w:val="6"/>
          <w:numId w:val="52"/>
        </w:numPr>
        <w:suppressAutoHyphens/>
        <w:spacing w:before="60"/>
        <w:jc w:val="both"/>
        <w:rPr>
          <w:rFonts w:ascii="Bookman Old Style" w:eastAsia="Arial" w:hAnsi="Bookman Old Style" w:cs="Arial"/>
        </w:rPr>
      </w:pPr>
      <w:r w:rsidRPr="00501223">
        <w:rPr>
          <w:rFonts w:ascii="Bookman Old Style" w:hAnsi="Bookman Old Style"/>
        </w:rPr>
        <w:t>Raw materials: 5% EEG + Export Development Fund</w:t>
      </w:r>
    </w:p>
    <w:p w14:paraId="4D834D93" w14:textId="77777777" w:rsidR="00493D7A" w:rsidRPr="00501223" w:rsidRDefault="00493D7A" w:rsidP="00493D7A">
      <w:pPr>
        <w:pStyle w:val="BodyB"/>
        <w:numPr>
          <w:ilvl w:val="0"/>
          <w:numId w:val="54"/>
        </w:numPr>
        <w:jc w:val="both"/>
        <w:rPr>
          <w:rFonts w:ascii="Bookman Old Style" w:hAnsi="Bookman Old Style"/>
        </w:rPr>
      </w:pPr>
      <w:r w:rsidRPr="00501223">
        <w:rPr>
          <w:rFonts w:ascii="Bookman Old Style" w:hAnsi="Bookman Old Style"/>
        </w:rPr>
        <w:t xml:space="preserve">Review additional ways of funding the the EEG Scheme.  We are aware, for instance, of a requirement for the Nigerian maritime and Shipping Agency (NIMASA) to remit a certain percentage of its revenue to fund the Nigeria </w:t>
      </w:r>
      <w:r w:rsidRPr="00501223">
        <w:rPr>
          <w:rFonts w:ascii="Bookman Old Style" w:hAnsi="Bookman Old Style"/>
        </w:rPr>
        <w:lastRenderedPageBreak/>
        <w:t>Export Promotion Council (NEPC) which is not implemented to date.  Other similar options may be explored to create a revenue pool for supporting this scheme which has proven, over the years, to significantly grow the non-oil export revenue for the country.</w:t>
      </w:r>
    </w:p>
    <w:p w14:paraId="4143EA5A" w14:textId="77777777" w:rsidR="00493D7A" w:rsidRPr="00501223" w:rsidRDefault="00493D7A" w:rsidP="00493D7A">
      <w:pPr>
        <w:pStyle w:val="BodyB"/>
        <w:numPr>
          <w:ilvl w:val="0"/>
          <w:numId w:val="55"/>
        </w:numPr>
        <w:jc w:val="both"/>
        <w:rPr>
          <w:rFonts w:ascii="Bookman Old Style" w:eastAsia="Arial" w:hAnsi="Bookman Old Style" w:cs="Arial"/>
          <w:sz w:val="22"/>
          <w:szCs w:val="22"/>
        </w:rPr>
      </w:pPr>
      <w:r w:rsidRPr="00501223">
        <w:rPr>
          <w:rFonts w:ascii="Bookman Old Style" w:hAnsi="Bookman Old Style"/>
        </w:rPr>
        <w:t>Make necessary annual budget for the Scheme</w:t>
      </w:r>
    </w:p>
    <w:p w14:paraId="65825263" w14:textId="77777777" w:rsidR="00493D7A" w:rsidRPr="00501223" w:rsidRDefault="00493D7A" w:rsidP="00493D7A">
      <w:pPr>
        <w:pStyle w:val="BodyB"/>
        <w:ind w:left="174"/>
        <w:jc w:val="both"/>
        <w:rPr>
          <w:rFonts w:ascii="Bookman Old Style" w:eastAsia="Arial" w:hAnsi="Bookman Old Style" w:cs="Arial"/>
          <w:sz w:val="22"/>
          <w:szCs w:val="22"/>
        </w:rPr>
      </w:pPr>
    </w:p>
    <w:p w14:paraId="539F9C0C" w14:textId="396A9969" w:rsidR="00493D7A" w:rsidRPr="00823548" w:rsidRDefault="00823548" w:rsidP="00493D7A">
      <w:pPr>
        <w:pStyle w:val="BodyB"/>
        <w:numPr>
          <w:ilvl w:val="0"/>
          <w:numId w:val="56"/>
        </w:numPr>
        <w:jc w:val="both"/>
        <w:rPr>
          <w:rFonts w:ascii="Bookman Old Style" w:eastAsia="Arial" w:hAnsi="Bookman Old Style" w:cs="Arial"/>
          <w:b/>
          <w:bCs/>
        </w:rPr>
      </w:pPr>
      <w:r w:rsidRPr="00823548">
        <w:rPr>
          <w:rFonts w:ascii="Bookman Old Style" w:hAnsi="Bookman Old Style"/>
          <w:b/>
          <w:bCs/>
        </w:rPr>
        <w:t>C. Long Term/Ongoing:</w:t>
      </w:r>
    </w:p>
    <w:p w14:paraId="2D324A68" w14:textId="1DE5BE12" w:rsidR="00493D7A" w:rsidRPr="00501223" w:rsidRDefault="007A2B85" w:rsidP="00635F00">
      <w:pPr>
        <w:pStyle w:val="BodyC"/>
        <w:suppressAutoHyphens/>
        <w:spacing w:after="0"/>
        <w:jc w:val="both"/>
        <w:rPr>
          <w:rFonts w:ascii="Bookman Old Style" w:eastAsia="Arial" w:hAnsi="Bookman Old Style" w:cs="Arial"/>
          <w:b/>
          <w:bCs/>
        </w:rPr>
      </w:pPr>
      <w:r w:rsidRPr="00501223">
        <w:rPr>
          <w:rFonts w:ascii="Bookman Old Style" w:hAnsi="Bookman Old Style"/>
          <w:b/>
          <w:bCs/>
        </w:rPr>
        <w:t>A Clea</w:t>
      </w:r>
      <w:r>
        <w:rPr>
          <w:rFonts w:ascii="Bookman Old Style" w:hAnsi="Bookman Old Style"/>
          <w:b/>
          <w:bCs/>
        </w:rPr>
        <w:t>r and Sustainable Export Agenda</w:t>
      </w:r>
    </w:p>
    <w:p w14:paraId="7D5D4DA5" w14:textId="77777777" w:rsidR="00493D7A" w:rsidRPr="00501223" w:rsidRDefault="00493D7A" w:rsidP="00493D7A">
      <w:pPr>
        <w:pStyle w:val="BodyC"/>
        <w:suppressAutoHyphens/>
        <w:spacing w:before="240" w:line="276" w:lineRule="auto"/>
        <w:jc w:val="both"/>
        <w:rPr>
          <w:rFonts w:ascii="Bookman Old Style" w:eastAsia="Arial" w:hAnsi="Bookman Old Style" w:cs="Arial"/>
        </w:rPr>
      </w:pPr>
      <w:r w:rsidRPr="00501223">
        <w:rPr>
          <w:rFonts w:ascii="Bookman Old Style" w:hAnsi="Bookman Old Style"/>
        </w:rPr>
        <w:t xml:space="preserve">In the fiercely competitive international trade arena, the name of the game is support, subsidy or incentives, whichever one each country decides to call its own. </w:t>
      </w:r>
    </w:p>
    <w:p w14:paraId="7F78B949" w14:textId="77777777" w:rsidR="00493D7A" w:rsidRPr="00501223" w:rsidRDefault="00493D7A" w:rsidP="00493D7A">
      <w:pPr>
        <w:pStyle w:val="BodyC"/>
        <w:suppressAutoHyphens/>
        <w:spacing w:before="240" w:line="276" w:lineRule="auto"/>
        <w:jc w:val="both"/>
        <w:rPr>
          <w:rFonts w:ascii="Bookman Old Style" w:eastAsia="Arial" w:hAnsi="Bookman Old Style" w:cs="Arial"/>
        </w:rPr>
      </w:pPr>
      <w:r w:rsidRPr="00501223">
        <w:rPr>
          <w:rFonts w:ascii="Bookman Old Style" w:hAnsi="Bookman Old Style"/>
        </w:rPr>
        <w:t xml:space="preserve">In the case of Australia, the Government’s basket of thirty-four different incentives is divided into the New Exporter Development Grants (a series of incentives to encourage entrance into export business) and the Export Market Development Grants (a set of post-shipment incentives for established exporters).  Several of the other countries have adopted country-specific variants of the Duty Draw back, while some extend their incentives via tax credits.  </w:t>
      </w:r>
    </w:p>
    <w:p w14:paraId="55691995" w14:textId="77777777" w:rsidR="00493D7A" w:rsidRPr="00501223" w:rsidRDefault="00493D7A" w:rsidP="00493D7A">
      <w:pPr>
        <w:pStyle w:val="BodyC"/>
        <w:suppressAutoHyphens/>
        <w:spacing w:before="240" w:line="276" w:lineRule="auto"/>
        <w:jc w:val="both"/>
        <w:rPr>
          <w:rFonts w:ascii="Bookman Old Style" w:eastAsia="Arial" w:hAnsi="Bookman Old Style" w:cs="Arial"/>
        </w:rPr>
      </w:pPr>
      <w:r w:rsidRPr="00501223">
        <w:rPr>
          <w:rFonts w:ascii="Bookman Old Style" w:hAnsi="Bookman Old Style"/>
        </w:rPr>
        <w:t>Nigeria, through its Export Promotion Council needs to dust up the basket of incentives that were designed in 1986 and known as the Export Incentives and </w:t>
      </w:r>
      <w:r w:rsidRPr="00501223">
        <w:rPr>
          <w:rFonts w:ascii="Bookman Old Style" w:hAnsi="Bookman Old Style"/>
          <w:lang w:val="it-IT"/>
        </w:rPr>
        <w:t>Miscellaneous</w:t>
      </w:r>
      <w:r w:rsidRPr="00501223">
        <w:rPr>
          <w:rFonts w:ascii="Bookman Old Style" w:hAnsi="Bookman Old Style"/>
        </w:rPr>
        <w:t> Act. Some of those that need to be activated immediately include:</w:t>
      </w:r>
    </w:p>
    <w:p w14:paraId="3C0750E8" w14:textId="77777777" w:rsidR="00493D7A" w:rsidRPr="00501223" w:rsidRDefault="00493D7A" w:rsidP="00493D7A">
      <w:pPr>
        <w:pStyle w:val="BodyC"/>
        <w:numPr>
          <w:ilvl w:val="0"/>
          <w:numId w:val="58"/>
        </w:numPr>
        <w:suppressAutoHyphens/>
        <w:jc w:val="both"/>
        <w:rPr>
          <w:rFonts w:ascii="Bookman Old Style" w:eastAsia="Arial" w:hAnsi="Bookman Old Style" w:cs="Arial"/>
        </w:rPr>
      </w:pPr>
      <w:r w:rsidRPr="00501223">
        <w:rPr>
          <w:rFonts w:ascii="Bookman Old Style" w:hAnsi="Bookman Old Style"/>
          <w:b/>
          <w:bCs/>
        </w:rPr>
        <w:t xml:space="preserve">The Export Development Fund (EDF). </w:t>
      </w:r>
    </w:p>
    <w:p w14:paraId="7FB79DB5" w14:textId="77777777" w:rsidR="00493D7A" w:rsidRPr="00501223" w:rsidRDefault="00493D7A" w:rsidP="00493D7A">
      <w:pPr>
        <w:pStyle w:val="BodyC"/>
        <w:suppressAutoHyphens/>
        <w:spacing w:line="276" w:lineRule="auto"/>
        <w:ind w:left="953"/>
        <w:jc w:val="both"/>
        <w:rPr>
          <w:rFonts w:ascii="Bookman Old Style" w:eastAsia="Arial" w:hAnsi="Bookman Old Style" w:cs="Arial"/>
        </w:rPr>
      </w:pPr>
      <w:r w:rsidRPr="00501223">
        <w:rPr>
          <w:rFonts w:ascii="Bookman Old Style" w:hAnsi="Bookman Old Style"/>
        </w:rPr>
        <w:t>This incentive would help to produce core Nigerian exporters and will focus on all pre-shipment activities including Export market Research, Production of bankable Export Business Plans, participation in overseas trade events to launch into the export market, Export-readiness capacity-building programmes, etc.  Indeed, the EDF can be developed to a level of being able to elicit funding directly from all manufacturers and exporters through Corporate Social Responsibility initiatives, (as is done in the extractive industries) as well as from International donor agencies and development partners.</w:t>
      </w:r>
    </w:p>
    <w:p w14:paraId="422A2942" w14:textId="77777777" w:rsidR="00493D7A" w:rsidRPr="00501223" w:rsidRDefault="00493D7A" w:rsidP="00493D7A">
      <w:pPr>
        <w:pStyle w:val="BodyC"/>
        <w:numPr>
          <w:ilvl w:val="0"/>
          <w:numId w:val="59"/>
        </w:numPr>
        <w:suppressAutoHyphens/>
        <w:jc w:val="both"/>
        <w:rPr>
          <w:rFonts w:ascii="Bookman Old Style" w:eastAsia="Arial" w:hAnsi="Bookman Old Style" w:cs="Arial"/>
        </w:rPr>
      </w:pPr>
      <w:r w:rsidRPr="00501223">
        <w:rPr>
          <w:rFonts w:ascii="Bookman Old Style" w:hAnsi="Bookman Old Style"/>
          <w:b/>
          <w:bCs/>
        </w:rPr>
        <w:t xml:space="preserve">The Export Credit Guarantee Scheme. </w:t>
      </w:r>
    </w:p>
    <w:p w14:paraId="640C2802" w14:textId="6AD4E319" w:rsidR="00635F00" w:rsidRDefault="00493D7A" w:rsidP="00D11CFF">
      <w:pPr>
        <w:pStyle w:val="BodyC"/>
        <w:suppressAutoHyphens/>
        <w:spacing w:line="276" w:lineRule="auto"/>
        <w:ind w:left="953"/>
        <w:jc w:val="both"/>
        <w:rPr>
          <w:rFonts w:ascii="Bookman Old Style" w:eastAsia="Arial" w:hAnsi="Bookman Old Style" w:cs="Arial"/>
        </w:rPr>
      </w:pPr>
      <w:r w:rsidRPr="00501223">
        <w:rPr>
          <w:rFonts w:ascii="Bookman Old Style" w:hAnsi="Bookman Old Style"/>
        </w:rPr>
        <w:t xml:space="preserve">One of the most serious limitations to exporting from Nigeria is access to and high cost of export financing.  Activating the Export </w:t>
      </w:r>
      <w:r w:rsidRPr="00501223">
        <w:rPr>
          <w:rFonts w:ascii="Bookman Old Style" w:hAnsi="Bookman Old Style"/>
        </w:rPr>
        <w:lastRenderedPageBreak/>
        <w:t xml:space="preserve">Credit Guarantee Scheme will necessitate effective synergy between the Central Bank of Nigeria, NEXIM Bank and all Commercial Banks.  The outcome promises to usher in a new lease of life to </w:t>
      </w:r>
      <w:r>
        <w:rPr>
          <w:rFonts w:ascii="Bookman Old Style" w:hAnsi="Bookman Old Style"/>
        </w:rPr>
        <w:t>Nigerian exports and exporters.</w:t>
      </w:r>
    </w:p>
    <w:p w14:paraId="0419171E" w14:textId="77777777" w:rsidR="00D11CFF" w:rsidRPr="00D11CFF" w:rsidRDefault="00D11CFF" w:rsidP="00D11CFF">
      <w:pPr>
        <w:pStyle w:val="BodyC"/>
        <w:suppressAutoHyphens/>
        <w:spacing w:line="276" w:lineRule="auto"/>
        <w:ind w:left="953"/>
        <w:jc w:val="both"/>
        <w:rPr>
          <w:rFonts w:ascii="Bookman Old Style" w:eastAsia="Arial" w:hAnsi="Bookman Old Style" w:cs="Arial"/>
        </w:rPr>
      </w:pPr>
    </w:p>
    <w:p w14:paraId="4A661B16" w14:textId="2D691A9C" w:rsidR="00493D7A" w:rsidRPr="00635F00" w:rsidRDefault="00635F00" w:rsidP="00635F00">
      <w:pPr>
        <w:pStyle w:val="BodyC"/>
        <w:suppressAutoHyphens/>
        <w:spacing w:after="0"/>
        <w:jc w:val="both"/>
        <w:rPr>
          <w:rFonts w:ascii="Bookman Old Style" w:eastAsia="Helvetica" w:hAnsi="Bookman Old Style" w:cs="Helvetica"/>
          <w:b/>
          <w:bCs/>
          <w:color w:val="auto"/>
          <w:u w:color="2F759E"/>
        </w:rPr>
      </w:pPr>
      <w:r w:rsidRPr="00635F00">
        <w:rPr>
          <w:rFonts w:ascii="Bookman Old Style" w:hAnsi="Bookman Old Style"/>
          <w:b/>
          <w:bCs/>
          <w:color w:val="auto"/>
          <w:u w:color="2F759E"/>
        </w:rPr>
        <w:t xml:space="preserve">4.9 </w:t>
      </w:r>
      <w:r w:rsidR="00493D7A" w:rsidRPr="00635F00">
        <w:rPr>
          <w:rFonts w:ascii="Bookman Old Style" w:hAnsi="Bookman Old Style"/>
          <w:b/>
          <w:bCs/>
          <w:color w:val="auto"/>
          <w:u w:color="2F759E"/>
        </w:rPr>
        <w:t>Regular Consultation between the Government and the Private Sector</w:t>
      </w:r>
    </w:p>
    <w:p w14:paraId="010B4E7E" w14:textId="5B96780C" w:rsidR="007A2B85" w:rsidRDefault="00493D7A" w:rsidP="007A2B85">
      <w:pPr>
        <w:pStyle w:val="BodyC"/>
        <w:suppressAutoHyphens/>
        <w:spacing w:line="276" w:lineRule="auto"/>
        <w:jc w:val="both"/>
        <w:rPr>
          <w:rFonts w:ascii="Bookman Old Style" w:hAnsi="Bookman Old Style"/>
        </w:rPr>
      </w:pPr>
      <w:r w:rsidRPr="00501223">
        <w:rPr>
          <w:rFonts w:ascii="Bookman Old Style" w:hAnsi="Bookman Old Style"/>
        </w:rPr>
        <w:t>In some of the countries cited above, Exports occupy the highest priority in national economic development plans and are directly supervised by the President.  Part of the provisions of America's National Export Initiative is a monthly review meeting with the President himself.  In Uganda, exporters hold a monthly breakfast meeting with the President to ensure that the country's exporters are supported optimally and that her exports remain competitive.  Nigerian cannot run away from such a strategy if she must derive the maximum benefits from her rich non-oil export sector.  </w:t>
      </w:r>
    </w:p>
    <w:p w14:paraId="483A8EB0" w14:textId="01F2EA20" w:rsidR="00493D7A" w:rsidRPr="007A2B85" w:rsidRDefault="007A2B85" w:rsidP="007A2B85">
      <w:pPr>
        <w:pStyle w:val="BodyC"/>
        <w:suppressAutoHyphens/>
        <w:spacing w:line="276" w:lineRule="auto"/>
        <w:jc w:val="both"/>
        <w:rPr>
          <w:rFonts w:ascii="Bookman Old Style" w:hAnsi="Bookman Old Style"/>
          <w:b/>
          <w:color w:val="auto"/>
        </w:rPr>
      </w:pPr>
      <w:r w:rsidRPr="007A2B85">
        <w:rPr>
          <w:rFonts w:ascii="Bookman Old Style" w:hAnsi="Bookman Old Style"/>
          <w:b/>
          <w:color w:val="auto"/>
          <w:u w:color="499BC9"/>
          <w:lang w:val="fr-FR"/>
        </w:rPr>
        <w:t>Suggestions</w:t>
      </w:r>
    </w:p>
    <w:p w14:paraId="0980C597" w14:textId="253CAB64" w:rsidR="00493D7A" w:rsidRPr="00501223" w:rsidRDefault="00493D7A" w:rsidP="00493D7A">
      <w:pPr>
        <w:pStyle w:val="BodyC"/>
        <w:numPr>
          <w:ilvl w:val="0"/>
          <w:numId w:val="61"/>
        </w:numPr>
        <w:suppressAutoHyphens/>
        <w:jc w:val="both"/>
        <w:rPr>
          <w:rFonts w:ascii="Bookman Old Style" w:eastAsia="Arial" w:hAnsi="Bookman Old Style" w:cs="Arial"/>
        </w:rPr>
      </w:pPr>
      <w:r w:rsidRPr="00501223">
        <w:rPr>
          <w:rFonts w:ascii="Bookman Old Style" w:hAnsi="Bookman Old Style"/>
          <w:b/>
          <w:bCs/>
        </w:rPr>
        <w:t>An Annual Export</w:t>
      </w:r>
      <w:r w:rsidR="007A2B85">
        <w:rPr>
          <w:rFonts w:ascii="Bookman Old Style" w:hAnsi="Bookman Old Style"/>
          <w:b/>
          <w:bCs/>
        </w:rPr>
        <w:t xml:space="preserve"> Conference</w:t>
      </w:r>
      <w:r w:rsidRPr="00501223">
        <w:rPr>
          <w:rFonts w:ascii="Bookman Old Style" w:hAnsi="Bookman Old Style"/>
        </w:rPr>
        <w:t xml:space="preserve">  </w:t>
      </w:r>
    </w:p>
    <w:p w14:paraId="33E034F8" w14:textId="2E998478" w:rsidR="007A2B85" w:rsidRDefault="00493D7A" w:rsidP="007A2B85">
      <w:pPr>
        <w:pStyle w:val="BodyC"/>
        <w:suppressAutoHyphens/>
        <w:spacing w:line="276" w:lineRule="auto"/>
        <w:ind w:left="720"/>
        <w:jc w:val="both"/>
        <w:rPr>
          <w:rFonts w:ascii="Bookman Old Style" w:hAnsi="Bookman Old Style"/>
        </w:rPr>
      </w:pPr>
      <w:r w:rsidRPr="00501223">
        <w:rPr>
          <w:rFonts w:ascii="Bookman Old Style" w:hAnsi="Bookman Old Style"/>
        </w:rPr>
        <w:t xml:space="preserve">There is no need reinventing the wheel.  Between 2010 and 2012, a Nigerian private sector outfit initiated and executed on an annual basis, the Nigerian Non-oil Export Conference, Exhibition and Awards (NNECEA).  The initiative provided ample platform for discussion between Government and Private Sector on the Non-oil export sector.  The event was suspended in 2013 and 2014 because of the absence of cooperation between the two key Ministries.  NNECEA must be resuscitated immediately. The first consultation/dialogue should serve to set a road map for the administration with strategies and timelines for real diversification and development of viable and sustainable alternative to crude oil as mainstay of Nigeria's economy.  It should therefore take place </w:t>
      </w:r>
      <w:r w:rsidRPr="00501223">
        <w:rPr>
          <w:rFonts w:ascii="Bookman Old Style" w:hAnsi="Bookman Old Style"/>
          <w:u w:color="FF0000"/>
        </w:rPr>
        <w:t>without further delay</w:t>
      </w:r>
      <w:r w:rsidRPr="00501223">
        <w:rPr>
          <w:rFonts w:ascii="Bookman Old Style" w:hAnsi="Bookman Old Style"/>
        </w:rPr>
        <w:t>, with attendance by the highest levels of Government including the President and the Vice President who has responsibility for the economy, governors of states with export operations, as well as all Ministers directly or indirectly involved in exports.</w:t>
      </w:r>
    </w:p>
    <w:p w14:paraId="527BB773" w14:textId="77777777" w:rsidR="007A2B85" w:rsidRPr="007A2B85" w:rsidRDefault="007A2B85" w:rsidP="007A2B85">
      <w:pPr>
        <w:pStyle w:val="BodyC"/>
        <w:suppressAutoHyphens/>
        <w:spacing w:line="276" w:lineRule="auto"/>
        <w:ind w:left="720"/>
        <w:jc w:val="both"/>
        <w:rPr>
          <w:rFonts w:ascii="Bookman Old Style" w:hAnsi="Bookman Old Style"/>
        </w:rPr>
      </w:pPr>
    </w:p>
    <w:p w14:paraId="386E59FE" w14:textId="77777777" w:rsidR="00493D7A" w:rsidRPr="00501223" w:rsidRDefault="00493D7A" w:rsidP="00493D7A">
      <w:pPr>
        <w:pStyle w:val="BodyC"/>
        <w:numPr>
          <w:ilvl w:val="0"/>
          <w:numId w:val="61"/>
        </w:numPr>
        <w:suppressAutoHyphens/>
        <w:jc w:val="both"/>
        <w:rPr>
          <w:rFonts w:ascii="Bookman Old Style" w:eastAsia="Arial" w:hAnsi="Bookman Old Style" w:cs="Arial"/>
          <w:b/>
          <w:bCs/>
        </w:rPr>
      </w:pPr>
      <w:r w:rsidRPr="00501223">
        <w:rPr>
          <w:rFonts w:ascii="Bookman Old Style" w:hAnsi="Bookman Old Style"/>
          <w:b/>
          <w:bCs/>
        </w:rPr>
        <w:t>A Bi-annual Exporter Forum With The Economic Team:</w:t>
      </w:r>
    </w:p>
    <w:p w14:paraId="7C7F26E8" w14:textId="77777777" w:rsidR="00493D7A" w:rsidRPr="00501223" w:rsidRDefault="00493D7A" w:rsidP="00493D7A">
      <w:pPr>
        <w:pStyle w:val="BodyC"/>
        <w:suppressAutoHyphens/>
        <w:spacing w:line="276" w:lineRule="auto"/>
        <w:ind w:left="720"/>
        <w:jc w:val="both"/>
        <w:rPr>
          <w:rFonts w:ascii="Bookman Old Style" w:eastAsia="Arial" w:hAnsi="Bookman Old Style" w:cs="Arial"/>
        </w:rPr>
      </w:pPr>
      <w:r w:rsidRPr="00501223">
        <w:rPr>
          <w:rFonts w:ascii="Bookman Old Style" w:hAnsi="Bookman Old Style"/>
        </w:rPr>
        <w:t xml:space="preserve">A forum to review the export performance, challenges and opportunities between the Economic Management Team and exporters </w:t>
      </w:r>
      <w:r w:rsidRPr="00501223">
        <w:rPr>
          <w:rFonts w:ascii="Bookman Old Style" w:hAnsi="Bookman Old Style"/>
        </w:rPr>
        <w:lastRenderedPageBreak/>
        <w:t>should take place twice a year. This will provide the opportunity to assess the performance and make any changes that will improve the performance by the next forum.</w:t>
      </w:r>
    </w:p>
    <w:p w14:paraId="08170F39" w14:textId="7F46A067" w:rsidR="007A2B85" w:rsidRPr="00501223" w:rsidRDefault="007A2B85" w:rsidP="007A2B85">
      <w:pPr>
        <w:pStyle w:val="BodyC"/>
        <w:suppressAutoHyphens/>
        <w:jc w:val="both"/>
        <w:rPr>
          <w:rFonts w:ascii="Bookman Old Style" w:eastAsia="Arial" w:hAnsi="Bookman Old Style" w:cs="Arial"/>
          <w:sz w:val="14"/>
          <w:szCs w:val="14"/>
        </w:rPr>
      </w:pPr>
    </w:p>
    <w:p w14:paraId="0C20E90A" w14:textId="77777777" w:rsidR="00493D7A" w:rsidRPr="00501223" w:rsidRDefault="00493D7A" w:rsidP="00493D7A">
      <w:pPr>
        <w:pStyle w:val="BodyC"/>
        <w:numPr>
          <w:ilvl w:val="0"/>
          <w:numId w:val="61"/>
        </w:numPr>
        <w:suppressAutoHyphens/>
        <w:jc w:val="both"/>
        <w:rPr>
          <w:rFonts w:ascii="Bookman Old Style" w:eastAsia="Arial" w:hAnsi="Bookman Old Style" w:cs="Arial"/>
          <w:b/>
          <w:bCs/>
        </w:rPr>
      </w:pPr>
      <w:r w:rsidRPr="00501223">
        <w:rPr>
          <w:rFonts w:ascii="Bookman Old Style" w:hAnsi="Bookman Old Style"/>
          <w:b/>
          <w:bCs/>
        </w:rPr>
        <w:t>A Cabinet Committee On Non-Oil Exports:</w:t>
      </w:r>
    </w:p>
    <w:p w14:paraId="6598CD8B" w14:textId="77777777" w:rsidR="00493D7A" w:rsidRPr="00501223" w:rsidRDefault="00493D7A" w:rsidP="00493D7A">
      <w:pPr>
        <w:pStyle w:val="BodyC"/>
        <w:suppressAutoHyphens/>
        <w:spacing w:line="276" w:lineRule="auto"/>
        <w:ind w:left="720"/>
        <w:jc w:val="both"/>
        <w:rPr>
          <w:rFonts w:ascii="Bookman Old Style" w:eastAsia="Arial" w:hAnsi="Bookman Old Style" w:cs="Arial"/>
        </w:rPr>
      </w:pPr>
      <w:r w:rsidRPr="00501223">
        <w:rPr>
          <w:rFonts w:ascii="Bookman Old Style" w:hAnsi="Bookman Old Style"/>
        </w:rPr>
        <w:t>It is obvious that non-oil exports collapsed in the previous administration because of the territorial wars between the major Ministries with oversight for export trade.  This administration must be assisted to avoid those destructive land mines.</w:t>
      </w:r>
    </w:p>
    <w:p w14:paraId="32122E14" w14:textId="77777777" w:rsidR="00493D7A" w:rsidRPr="00501223" w:rsidRDefault="00493D7A" w:rsidP="00493D7A">
      <w:pPr>
        <w:pStyle w:val="BodyC"/>
        <w:suppressAutoHyphens/>
        <w:spacing w:line="276" w:lineRule="auto"/>
        <w:ind w:left="720"/>
        <w:jc w:val="both"/>
        <w:rPr>
          <w:rFonts w:ascii="Bookman Old Style" w:eastAsia="Arial" w:hAnsi="Bookman Old Style" w:cs="Arial"/>
        </w:rPr>
      </w:pPr>
      <w:r w:rsidRPr="00501223">
        <w:rPr>
          <w:rFonts w:ascii="Bookman Old Style" w:hAnsi="Bookman Old Style"/>
        </w:rPr>
        <w:t xml:space="preserve">The proposal is for government to constitute a Cabinet Committee comprising the Ministers in charge of Trade, Finance, Agriculture, Solid Minerals, National Planning, as well as the heads of Central Bank, Nigeria Customs Service, NAFDAC, NEXIM, Bank of Industry, Bank of Agriculture, Tourism Development, SON </w:t>
      </w:r>
      <w:r w:rsidRPr="00501223">
        <w:rPr>
          <w:rFonts w:ascii="Bookman Old Style" w:hAnsi="Bookman Old Style"/>
          <w:u w:color="FF0000"/>
        </w:rPr>
        <w:t>(with a designated Director each)</w:t>
      </w:r>
      <w:r w:rsidRPr="00501223">
        <w:rPr>
          <w:rFonts w:ascii="Bookman Old Style" w:hAnsi="Bookman Old Style"/>
        </w:rPr>
        <w:t xml:space="preserve"> and a recognized private sector export group to drive export. The Private sector should also be mandated to put its house in order by establishing an inclusive umbrella body for all non-oil export associations across the sectors.  Heads of these sectorial associations would then form the new body which would, imperatively work with the Cabinet Committee.  </w:t>
      </w:r>
    </w:p>
    <w:p w14:paraId="7E7E9445" w14:textId="77777777" w:rsidR="00493D7A" w:rsidRPr="00501223" w:rsidRDefault="00493D7A" w:rsidP="00493D7A">
      <w:pPr>
        <w:pStyle w:val="BodyC"/>
        <w:suppressAutoHyphens/>
        <w:ind w:left="720"/>
        <w:jc w:val="both"/>
        <w:rPr>
          <w:rFonts w:ascii="Bookman Old Style" w:eastAsia="Arial" w:hAnsi="Bookman Old Style" w:cs="Arial"/>
          <w:b/>
          <w:bCs/>
          <w:sz w:val="8"/>
          <w:szCs w:val="8"/>
        </w:rPr>
      </w:pPr>
    </w:p>
    <w:p w14:paraId="590B278E" w14:textId="1AED61C0" w:rsidR="00493D7A" w:rsidRPr="00501223" w:rsidRDefault="00493D7A" w:rsidP="00493D7A">
      <w:pPr>
        <w:pStyle w:val="BodyC"/>
        <w:numPr>
          <w:ilvl w:val="0"/>
          <w:numId w:val="61"/>
        </w:numPr>
        <w:suppressAutoHyphens/>
        <w:jc w:val="both"/>
        <w:rPr>
          <w:rFonts w:ascii="Bookman Old Style" w:eastAsia="Arial" w:hAnsi="Bookman Old Style" w:cs="Arial"/>
          <w:b/>
          <w:bCs/>
        </w:rPr>
      </w:pPr>
      <w:r w:rsidRPr="00501223">
        <w:rPr>
          <w:rFonts w:ascii="Bookman Old Style" w:hAnsi="Bookman Old Style"/>
          <w:b/>
          <w:bCs/>
        </w:rPr>
        <w:t>Impact</w:t>
      </w:r>
      <w:r w:rsidR="007A2B85">
        <w:rPr>
          <w:rFonts w:ascii="Bookman Old Style" w:hAnsi="Bookman Old Style"/>
          <w:b/>
          <w:bCs/>
        </w:rPr>
        <w:t xml:space="preserve"> Awareness and Export Education</w:t>
      </w:r>
    </w:p>
    <w:p w14:paraId="2F7181D0" w14:textId="77777777" w:rsidR="007A2B85" w:rsidRDefault="00493D7A" w:rsidP="007A2B85">
      <w:pPr>
        <w:pStyle w:val="BodyC"/>
        <w:suppressAutoHyphens/>
        <w:spacing w:line="276" w:lineRule="auto"/>
        <w:ind w:left="720"/>
        <w:jc w:val="both"/>
        <w:rPr>
          <w:rFonts w:ascii="Bookman Old Style" w:eastAsia="Arial" w:hAnsi="Bookman Old Style" w:cs="Arial"/>
        </w:rPr>
      </w:pPr>
      <w:r w:rsidRPr="00501223">
        <w:rPr>
          <w:rFonts w:ascii="Bookman Old Style" w:hAnsi="Bookman Old Style"/>
        </w:rPr>
        <w:t>The major problem that the Export Expansion Grant faced in the past stemmed from inadequate awareness or absolute ignorance of its relevance, even on the part of the Government authorities that administered it or supervised the usage of the Negotiable Duty Credit Certificates.  NEPC must be mandated to conduct Impact Assessment of the EEG on an annual basis and submit reports to the Cabinet Committee, under the Chairmanship of Mr. President himself. This should commence in 2016.</w:t>
      </w:r>
    </w:p>
    <w:p w14:paraId="49489CFD" w14:textId="4333A5EE" w:rsidR="00493D7A" w:rsidRPr="007A2B85" w:rsidRDefault="00493D7A" w:rsidP="007A2B85">
      <w:pPr>
        <w:pStyle w:val="BodyC"/>
        <w:numPr>
          <w:ilvl w:val="0"/>
          <w:numId w:val="77"/>
        </w:numPr>
        <w:suppressAutoHyphens/>
        <w:spacing w:line="276" w:lineRule="auto"/>
        <w:jc w:val="both"/>
        <w:rPr>
          <w:rFonts w:ascii="Bookman Old Style" w:eastAsia="Arial" w:hAnsi="Bookman Old Style" w:cs="Arial"/>
        </w:rPr>
      </w:pPr>
      <w:r w:rsidRPr="00501223">
        <w:rPr>
          <w:rFonts w:ascii="Bookman Old Style" w:hAnsi="Bookman Old Style"/>
          <w:b/>
          <w:bCs/>
          <w:u w:color="FF0000"/>
        </w:rPr>
        <w:t>Improve Export Knowledge capacity through Training</w:t>
      </w:r>
    </w:p>
    <w:p w14:paraId="2DE186C6" w14:textId="21ED8624" w:rsidR="007A2B85" w:rsidRPr="00D11CFF" w:rsidRDefault="00493D7A" w:rsidP="00D11CFF">
      <w:pPr>
        <w:pStyle w:val="BodyC"/>
        <w:suppressAutoHyphens/>
        <w:spacing w:line="276" w:lineRule="auto"/>
        <w:ind w:left="720"/>
        <w:jc w:val="both"/>
        <w:rPr>
          <w:rFonts w:ascii="Bookman Old Style" w:hAnsi="Bookman Old Style"/>
          <w:u w:color="FF0000"/>
        </w:rPr>
      </w:pPr>
      <w:r w:rsidRPr="00501223">
        <w:rPr>
          <w:rFonts w:ascii="Bookman Old Style" w:hAnsi="Bookman Old Style"/>
          <w:u w:color="FF0000"/>
        </w:rPr>
        <w:t>The export value chain will be significantly enhanced through the provision of export training. This should cover all players in the Nigerian export proposition (exporters, banks and regulators, etc). To this end an export training institute can be established to drive export knowledge capacity building. The institute can be tasked with generating export-benefiting ideas and proffering solutions to export related challenges.</w:t>
      </w:r>
    </w:p>
    <w:p w14:paraId="0FD49DC0" w14:textId="42BA3573" w:rsidR="00493D7A" w:rsidRPr="007A2B85" w:rsidRDefault="00493D7A" w:rsidP="007A2B85">
      <w:pPr>
        <w:pStyle w:val="BodyC"/>
        <w:numPr>
          <w:ilvl w:val="0"/>
          <w:numId w:val="77"/>
        </w:numPr>
        <w:suppressAutoHyphens/>
        <w:spacing w:line="276" w:lineRule="auto"/>
        <w:jc w:val="both"/>
        <w:rPr>
          <w:rFonts w:ascii="Bookman Old Style" w:eastAsia="Arial" w:hAnsi="Bookman Old Style" w:cs="Arial"/>
          <w:u w:color="FF0000"/>
        </w:rPr>
      </w:pPr>
      <w:r w:rsidRPr="00501223">
        <w:rPr>
          <w:rFonts w:ascii="Bookman Old Style" w:hAnsi="Bookman Old Style"/>
          <w:b/>
          <w:bCs/>
          <w:u w:color="FF0000"/>
        </w:rPr>
        <w:lastRenderedPageBreak/>
        <w:t>Energization of NEPC</w:t>
      </w:r>
    </w:p>
    <w:p w14:paraId="13865881" w14:textId="0F301EF3" w:rsidR="00635F00" w:rsidRPr="00635F00" w:rsidRDefault="00493D7A" w:rsidP="00635F00">
      <w:pPr>
        <w:pStyle w:val="BodyC"/>
        <w:suppressAutoHyphens/>
        <w:spacing w:line="276" w:lineRule="auto"/>
        <w:ind w:left="720"/>
        <w:jc w:val="both"/>
        <w:rPr>
          <w:rFonts w:ascii="Bookman Old Style" w:hAnsi="Bookman Old Style"/>
          <w:u w:color="FF0000"/>
        </w:rPr>
      </w:pPr>
      <w:r w:rsidRPr="00501223">
        <w:rPr>
          <w:rFonts w:ascii="Bookman Old Style" w:hAnsi="Bookman Old Style"/>
          <w:u w:color="FF0000"/>
        </w:rPr>
        <w:t>To achieve the level of concerted effort required to give non-oil export the prominence it requires and deserves, there is ne</w:t>
      </w:r>
      <w:r w:rsidR="007A2B85">
        <w:rPr>
          <w:rFonts w:ascii="Bookman Old Style" w:hAnsi="Bookman Old Style"/>
          <w:u w:color="FF0000"/>
        </w:rPr>
        <w:t xml:space="preserve">ed for NEPC to take the lead at </w:t>
      </w:r>
      <w:r w:rsidRPr="00501223">
        <w:rPr>
          <w:rFonts w:ascii="Bookman Old Style" w:hAnsi="Bookman Old Style"/>
          <w:u w:color="FF0000"/>
        </w:rPr>
        <w:t>this time, in the advocacy for non-oil export in all ramifications. NEPC therefore needs to be energized to play a more visible and active role in ramping up export and in the administration of export incentives.</w:t>
      </w:r>
    </w:p>
    <w:p w14:paraId="20E1D527"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0DBD6C08"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6587C0A2"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5B459C3F"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65DD2B9E"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4775E446"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789E4B80"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47074780"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25A4F6A1"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23DCEC9B"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03F4B73D"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6A214B7B"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776BBB6F"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2AFD1788"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6F7D7B67"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3ADEC8B7"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2FF36770"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09DD7786"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3CD479A5"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53F13D4B"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608A70CA"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689BD733"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4F23BDBA"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64B58E72"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419DA06F"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552E13C9"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3E14344E"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2A0DE5CE"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500B6F6C"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76323663"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6F9B0422"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035DEA45"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2FB40319"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710BB43B"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46CDBBF9"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0251011E"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1F088B1F" w14:textId="77777777" w:rsidR="00D11CFF" w:rsidRDefault="00D11CFF" w:rsidP="00AF6713">
      <w:pPr>
        <w:autoSpaceDE w:val="0"/>
        <w:autoSpaceDN w:val="0"/>
        <w:adjustRightInd w:val="0"/>
        <w:spacing w:after="0" w:line="240" w:lineRule="auto"/>
        <w:rPr>
          <w:rFonts w:ascii="Bookman Old Style" w:hAnsi="Bookman Old Style"/>
          <w:b/>
          <w:bCs/>
          <w:sz w:val="24"/>
          <w:szCs w:val="24"/>
        </w:rPr>
      </w:pPr>
    </w:p>
    <w:p w14:paraId="389766FE" w14:textId="1CDEFEB7" w:rsidR="00FB5722" w:rsidRPr="00BD1A8E" w:rsidRDefault="00D11CFF" w:rsidP="00AF6713">
      <w:pPr>
        <w:autoSpaceDE w:val="0"/>
        <w:autoSpaceDN w:val="0"/>
        <w:adjustRightInd w:val="0"/>
        <w:spacing w:after="0" w:line="240" w:lineRule="auto"/>
        <w:rPr>
          <w:rFonts w:ascii="Bookman Old Style" w:hAnsi="Bookman Old Style"/>
          <w:b/>
          <w:bCs/>
          <w:sz w:val="24"/>
          <w:szCs w:val="24"/>
        </w:rPr>
      </w:pPr>
      <w:r>
        <w:rPr>
          <w:rFonts w:ascii="Bookman Old Style" w:hAnsi="Bookman Old Style"/>
          <w:b/>
          <w:bCs/>
          <w:sz w:val="24"/>
          <w:szCs w:val="24"/>
        </w:rPr>
        <w:lastRenderedPageBreak/>
        <w:t>SECTION</w:t>
      </w:r>
      <w:r w:rsidR="00FB5722" w:rsidRPr="00BD1A8E">
        <w:rPr>
          <w:rFonts w:ascii="Bookman Old Style" w:hAnsi="Bookman Old Style"/>
          <w:b/>
          <w:bCs/>
          <w:sz w:val="24"/>
          <w:szCs w:val="24"/>
        </w:rPr>
        <w:t xml:space="preserve"> 5</w:t>
      </w:r>
      <w:r w:rsidR="00AF6713">
        <w:rPr>
          <w:rFonts w:ascii="Bookman Old Style" w:hAnsi="Bookman Old Style"/>
          <w:b/>
          <w:bCs/>
          <w:sz w:val="24"/>
          <w:szCs w:val="24"/>
        </w:rPr>
        <w:t xml:space="preserve">: </w:t>
      </w:r>
      <w:r w:rsidR="00227D1E" w:rsidRPr="00BD1A8E">
        <w:rPr>
          <w:rFonts w:ascii="Bookman Old Style" w:hAnsi="Bookman Old Style"/>
          <w:b/>
          <w:bCs/>
          <w:sz w:val="24"/>
          <w:szCs w:val="24"/>
        </w:rPr>
        <w:t>SPURRING TRADE GROWTH THROUGH A NEW TRADE FACILITATION AGREEMENT</w:t>
      </w:r>
    </w:p>
    <w:p w14:paraId="2356EC6D" w14:textId="77777777" w:rsidR="00FB5722" w:rsidRPr="00BD1A8E" w:rsidRDefault="00FB5722" w:rsidP="00FB5722">
      <w:pPr>
        <w:spacing w:after="0" w:line="240" w:lineRule="auto"/>
        <w:rPr>
          <w:rFonts w:ascii="Bookman Old Style" w:hAnsi="Bookman Old Style"/>
          <w:b/>
          <w:bCs/>
          <w:sz w:val="24"/>
          <w:szCs w:val="24"/>
        </w:rPr>
      </w:pPr>
    </w:p>
    <w:p w14:paraId="58B8D661" w14:textId="77777777" w:rsidR="00FB5722" w:rsidRPr="00BD1A8E" w:rsidRDefault="00FB5722" w:rsidP="00FB5722">
      <w:pPr>
        <w:spacing w:after="0" w:line="240" w:lineRule="auto"/>
        <w:rPr>
          <w:rFonts w:ascii="Bookman Old Style" w:hAnsi="Bookman Old Style"/>
          <w:b/>
          <w:bCs/>
          <w:sz w:val="24"/>
          <w:szCs w:val="24"/>
        </w:rPr>
      </w:pPr>
      <w:r w:rsidRPr="00BD1A8E">
        <w:rPr>
          <w:rFonts w:ascii="Bookman Old Style" w:hAnsi="Bookman Old Style"/>
          <w:b/>
          <w:bCs/>
          <w:sz w:val="24"/>
          <w:szCs w:val="24"/>
        </w:rPr>
        <w:t>5.1 Introduction</w:t>
      </w:r>
    </w:p>
    <w:p w14:paraId="46053DB3" w14:textId="77777777" w:rsidR="00FB5722" w:rsidRPr="00BD1A8E" w:rsidRDefault="00FB5722" w:rsidP="00FB5722">
      <w:pPr>
        <w:autoSpaceDE w:val="0"/>
        <w:autoSpaceDN w:val="0"/>
        <w:adjustRightInd w:val="0"/>
        <w:spacing w:after="0" w:line="240" w:lineRule="auto"/>
        <w:jc w:val="both"/>
        <w:rPr>
          <w:rFonts w:ascii="Bookman Old Style" w:hAnsi="Bookman Old Style" w:cs="TimesNewRomanPSMT"/>
          <w:sz w:val="23"/>
          <w:szCs w:val="23"/>
        </w:rPr>
      </w:pPr>
      <w:r w:rsidRPr="00BD1A8E">
        <w:rPr>
          <w:rFonts w:ascii="Bookman Old Style" w:hAnsi="Bookman Old Style"/>
          <w:sz w:val="24"/>
          <w:szCs w:val="24"/>
        </w:rPr>
        <w:t>There are several definitions of trade facilitation, all relatively similar. The term generally refers to the simplification of procedural and administrative impediments to trade (such as Customs administration, standards and technical regulations), as well as associated information flows required to move goods internationally from seller to buyer and to pass payment in the other direction. Even if there are examples of scholars who include many more issues under the banner of trade facilitation, but this course material will use the widely accepted de</w:t>
      </w:r>
      <w:r>
        <w:rPr>
          <w:rFonts w:ascii="Bookman Old Style" w:hAnsi="Bookman Old Style"/>
          <w:sz w:val="24"/>
          <w:szCs w:val="24"/>
        </w:rPr>
        <w:t>finition adopted by the WTO, as “</w:t>
      </w:r>
      <w:r>
        <w:rPr>
          <w:rFonts w:ascii="Bookman Old Style" w:hAnsi="Bookman Old Style"/>
          <w:iCs/>
          <w:sz w:val="24"/>
          <w:szCs w:val="24"/>
        </w:rPr>
        <w:t>T</w:t>
      </w:r>
      <w:r w:rsidRPr="00BD1A8E">
        <w:rPr>
          <w:rFonts w:ascii="Bookman Old Style" w:hAnsi="Bookman Old Style"/>
          <w:iCs/>
          <w:sz w:val="24"/>
          <w:szCs w:val="24"/>
        </w:rPr>
        <w:t>he simplification and harmonization of international trade procedures”. Trade procedures, in turn, are”</w:t>
      </w:r>
      <w:r>
        <w:rPr>
          <w:rFonts w:ascii="Bookman Old Style" w:hAnsi="Bookman Old Style"/>
          <w:iCs/>
          <w:sz w:val="24"/>
          <w:szCs w:val="24"/>
        </w:rPr>
        <w:t xml:space="preserve"> </w:t>
      </w:r>
      <w:r w:rsidRPr="00BD1A8E">
        <w:rPr>
          <w:rFonts w:ascii="Bookman Old Style" w:hAnsi="Bookman Old Style"/>
          <w:iCs/>
          <w:sz w:val="24"/>
          <w:szCs w:val="24"/>
        </w:rPr>
        <w:t>the activities, practices and formalities involved in collecting, presenting, communicating and processing data required for the movement of goods in international trade”</w:t>
      </w:r>
      <w:r w:rsidRPr="00BD1A8E">
        <w:rPr>
          <w:rFonts w:ascii="Bookman Old Style" w:hAnsi="Bookman Old Style" w:cs="TimesNewRomanPSMT"/>
          <w:sz w:val="23"/>
          <w:szCs w:val="23"/>
        </w:rPr>
        <w:t xml:space="preserve"> (WTO 1998).  As shown in Figure 1, trade facilitation can be discussed within the broader policy initiatives of institutional reforms, transport facilitation, export promotion, custom modernization, electronic governance and regional integration. Trade facilitation has largely come to mean measures that seek to improve the regulatory interface between government bodies and traders at national borders.</w:t>
      </w:r>
    </w:p>
    <w:p w14:paraId="521CDC89" w14:textId="77777777" w:rsidR="00FB5722" w:rsidRPr="00BD1A8E" w:rsidRDefault="00FB5722" w:rsidP="00FB5722">
      <w:pPr>
        <w:autoSpaceDE w:val="0"/>
        <w:autoSpaceDN w:val="0"/>
        <w:adjustRightInd w:val="0"/>
        <w:spacing w:after="0" w:line="240" w:lineRule="auto"/>
        <w:jc w:val="both"/>
        <w:rPr>
          <w:rFonts w:ascii="Bookman Old Style" w:hAnsi="Bookman Old Style" w:cs="TimesNewRomanPSMT"/>
          <w:sz w:val="23"/>
          <w:szCs w:val="23"/>
        </w:rPr>
      </w:pPr>
    </w:p>
    <w:p w14:paraId="38454BD0" w14:textId="5EBC4949" w:rsidR="00FB5722" w:rsidRPr="00BD1A8E" w:rsidRDefault="00D11CFF" w:rsidP="00FB5722">
      <w:pPr>
        <w:autoSpaceDE w:val="0"/>
        <w:autoSpaceDN w:val="0"/>
        <w:adjustRightInd w:val="0"/>
        <w:spacing w:after="0" w:line="240" w:lineRule="auto"/>
        <w:jc w:val="center"/>
        <w:rPr>
          <w:rFonts w:ascii="Bookman Old Style" w:hAnsi="Bookman Old Style" w:cs="TimesNewRomanPSMT"/>
          <w:sz w:val="23"/>
          <w:szCs w:val="23"/>
        </w:rPr>
      </w:pPr>
      <w:r>
        <w:rPr>
          <w:rFonts w:ascii="Bookman Old Style" w:hAnsi="Bookman Old Style" w:cs="TimesNewRomanPSMT"/>
          <w:sz w:val="23"/>
          <w:szCs w:val="23"/>
        </w:rPr>
        <w:t>Figure 1</w:t>
      </w:r>
      <w:r w:rsidR="00F56C68">
        <w:rPr>
          <w:rFonts w:ascii="Bookman Old Style" w:hAnsi="Bookman Old Style" w:cs="TimesNewRomanPSMT"/>
          <w:sz w:val="23"/>
          <w:szCs w:val="23"/>
        </w:rPr>
        <w:t>1</w:t>
      </w:r>
      <w:r w:rsidR="00FB5722" w:rsidRPr="00BD1A8E">
        <w:rPr>
          <w:rFonts w:ascii="Bookman Old Style" w:hAnsi="Bookman Old Style" w:cs="TimesNewRomanPSMT"/>
          <w:sz w:val="23"/>
          <w:szCs w:val="23"/>
        </w:rPr>
        <w:t>: Trade Facilitation and Broader Policy Initiatives</w:t>
      </w:r>
    </w:p>
    <w:p w14:paraId="557A2E72" w14:textId="77777777" w:rsidR="00FB5722" w:rsidRPr="00BD1A8E" w:rsidRDefault="00FB5722" w:rsidP="00FB5722">
      <w:pPr>
        <w:autoSpaceDE w:val="0"/>
        <w:autoSpaceDN w:val="0"/>
        <w:adjustRightInd w:val="0"/>
        <w:spacing w:after="0" w:line="240" w:lineRule="auto"/>
        <w:ind w:firstLine="720"/>
        <w:rPr>
          <w:rFonts w:ascii="Bookman Old Style" w:hAnsi="Bookman Old Style" w:cs="TimesNewRomanPSMT"/>
          <w:sz w:val="23"/>
          <w:szCs w:val="23"/>
        </w:rPr>
      </w:pPr>
      <w:r w:rsidRPr="00BD1A8E">
        <w:rPr>
          <w:rFonts w:ascii="Bookman Old Style" w:hAnsi="Bookman Old Style"/>
          <w:noProof/>
          <w:lang w:eastAsia="en-GB"/>
        </w:rPr>
        <w:drawing>
          <wp:inline distT="0" distB="0" distL="0" distR="0" wp14:anchorId="6125AAE5" wp14:editId="7D19F27F">
            <wp:extent cx="4552950" cy="116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2950" cy="1162050"/>
                    </a:xfrm>
                    <a:prstGeom prst="rect">
                      <a:avLst/>
                    </a:prstGeom>
                    <a:noFill/>
                    <a:ln>
                      <a:noFill/>
                    </a:ln>
                  </pic:spPr>
                </pic:pic>
              </a:graphicData>
            </a:graphic>
          </wp:inline>
        </w:drawing>
      </w:r>
    </w:p>
    <w:p w14:paraId="4B54BAFB" w14:textId="77777777" w:rsidR="00FB5722" w:rsidRPr="00BD1A8E" w:rsidRDefault="00FB5722" w:rsidP="00FB5722">
      <w:pPr>
        <w:autoSpaceDE w:val="0"/>
        <w:autoSpaceDN w:val="0"/>
        <w:adjustRightInd w:val="0"/>
        <w:spacing w:after="0" w:line="240" w:lineRule="auto"/>
        <w:ind w:firstLine="720"/>
        <w:rPr>
          <w:rFonts w:ascii="Bookman Old Style" w:hAnsi="Bookman Old Style" w:cs="TimesNewRomanPSMT"/>
          <w:sz w:val="23"/>
          <w:szCs w:val="23"/>
        </w:rPr>
      </w:pPr>
      <w:r w:rsidRPr="00BD1A8E">
        <w:rPr>
          <w:rFonts w:ascii="Bookman Old Style" w:hAnsi="Bookman Old Style" w:cs="TimesNewRomanPSMT"/>
          <w:sz w:val="23"/>
          <w:szCs w:val="23"/>
        </w:rPr>
        <w:t>Source: WTO Secretariat</w:t>
      </w:r>
    </w:p>
    <w:p w14:paraId="0C961AC9" w14:textId="77777777" w:rsidR="00FB5722" w:rsidRPr="00BD1A8E" w:rsidRDefault="00FB5722" w:rsidP="00FB5722">
      <w:pPr>
        <w:autoSpaceDE w:val="0"/>
        <w:autoSpaceDN w:val="0"/>
        <w:adjustRightInd w:val="0"/>
        <w:spacing w:after="0" w:line="240" w:lineRule="auto"/>
        <w:ind w:firstLine="720"/>
        <w:rPr>
          <w:rFonts w:ascii="Bookman Old Style" w:hAnsi="Bookman Old Style" w:cs="TimesNewRomanPSMT"/>
          <w:sz w:val="23"/>
          <w:szCs w:val="23"/>
        </w:rPr>
      </w:pPr>
    </w:p>
    <w:p w14:paraId="758E3E33" w14:textId="77777777" w:rsidR="00FB5722" w:rsidRPr="00BD1A8E" w:rsidRDefault="00FB5722" w:rsidP="00FB5722">
      <w:pPr>
        <w:autoSpaceDE w:val="0"/>
        <w:autoSpaceDN w:val="0"/>
        <w:adjustRightInd w:val="0"/>
        <w:spacing w:after="0" w:line="240" w:lineRule="auto"/>
        <w:jc w:val="both"/>
        <w:rPr>
          <w:rFonts w:ascii="Bookman Old Style" w:hAnsi="Bookman Old Style" w:cs="TimesNewRomanPSMT"/>
          <w:sz w:val="23"/>
          <w:szCs w:val="23"/>
        </w:rPr>
      </w:pPr>
      <w:r w:rsidRPr="00BD1A8E">
        <w:rPr>
          <w:rFonts w:ascii="Bookman Old Style" w:hAnsi="Bookman Old Style" w:cs="TimesNewRomanPSMT"/>
          <w:sz w:val="23"/>
          <w:szCs w:val="23"/>
        </w:rPr>
        <w:t>There are a number of global initiatives on trade facilitation, the most important of which is the Trade Facilitation Agreement (TFA) of the World Trade Organization (WTO). Trade facilitation is receiving increased attention at national, regional and international levels and is presently an important item in the WTO trade negotiations. It is a relatively non-contentious and promising initiative in the non-tariff aspect of WTO negotiations. It is equally incorporated in many customs modernization programs and supply chain security initiatives, where it is seen as being able to help improve controls and reduce burdens on legitimate traders. Recent aid-for-trade deals and capacity building initiatives regularly take in trade facilitation measures as part of implementation. Expenditures to support trade facilitation specific projects increased from US$101 million in 2000 to US$391 million in 2006 (WTO/OECD 2008). This is in part because trade facilitation is known to save costs. The OECD (2003), for example, calculates that each 1 percent saving in trade related transaction costs yields a worldwide benefit of US$43 billion.</w:t>
      </w:r>
    </w:p>
    <w:p w14:paraId="6CF518AB" w14:textId="77777777" w:rsidR="00FB5722" w:rsidRPr="00BD1A8E" w:rsidRDefault="00FB5722" w:rsidP="00FB5722">
      <w:pPr>
        <w:autoSpaceDE w:val="0"/>
        <w:autoSpaceDN w:val="0"/>
        <w:adjustRightInd w:val="0"/>
        <w:spacing w:after="0" w:line="240" w:lineRule="auto"/>
        <w:rPr>
          <w:rFonts w:ascii="Bookman Old Style" w:hAnsi="Bookman Old Style" w:cs="TimesNewRomanPSMT"/>
          <w:sz w:val="23"/>
          <w:szCs w:val="23"/>
        </w:rPr>
      </w:pPr>
    </w:p>
    <w:p w14:paraId="11C058ED" w14:textId="77777777" w:rsidR="00FB5722" w:rsidRPr="00BD1A8E" w:rsidRDefault="00FB5722" w:rsidP="00FB5722">
      <w:pPr>
        <w:spacing w:after="0" w:line="240" w:lineRule="auto"/>
        <w:jc w:val="both"/>
        <w:rPr>
          <w:rFonts w:ascii="Bookman Old Style" w:hAnsi="Bookman Old Style"/>
          <w:bCs/>
          <w:sz w:val="24"/>
          <w:szCs w:val="24"/>
        </w:rPr>
      </w:pPr>
      <w:r w:rsidRPr="00BD1A8E">
        <w:rPr>
          <w:rFonts w:ascii="Bookman Old Style" w:hAnsi="Bookman Old Style"/>
          <w:sz w:val="24"/>
          <w:szCs w:val="24"/>
        </w:rPr>
        <w:lastRenderedPageBreak/>
        <w:t>Trade facilitation impacts income and welfare through three major channels. First, trade facilitation improves a country’s overall trade landscape and increases its access to the benefits of international trade. With trade facilitation, agents within a country are more able to trade with the rest of the world thus, increasing income.</w:t>
      </w:r>
      <w:r w:rsidRPr="00BD1A8E">
        <w:rPr>
          <w:rFonts w:ascii="Bookman Old Style" w:hAnsi="Bookman Old Style"/>
          <w:bCs/>
          <w:sz w:val="24"/>
          <w:szCs w:val="24"/>
        </w:rPr>
        <w:t xml:space="preserve"> It changes the prices of traded goods which then are translated into prices faced by different sectors. Secondly, trade facilitation directly affects growth. This impact emanates from improved </w:t>
      </w:r>
      <w:r w:rsidRPr="00BD1A8E">
        <w:rPr>
          <w:rFonts w:ascii="Bookman Old Style" w:hAnsi="Bookman Old Style"/>
          <w:sz w:val="24"/>
          <w:szCs w:val="24"/>
        </w:rPr>
        <w:t>efficiency of resource use which is an outcome of reduced turnover time at ports and increased access to external resources.</w:t>
      </w:r>
      <w:r w:rsidRPr="00BD1A8E">
        <w:rPr>
          <w:rFonts w:ascii="Bookman Old Style" w:hAnsi="Bookman Old Style"/>
          <w:bCs/>
          <w:sz w:val="24"/>
          <w:szCs w:val="24"/>
        </w:rPr>
        <w:t xml:space="preserve"> The weight of evidence is that increased openness to trade is good for growth. Indeed, for full benefits of tariff liberalization to be realized, it has to be accompanied by trade facilitation in the forms of simplification of procedures, provision of transport and communication infrastructure. Where this is not the case, tariff liberalization has been known to fail to generate the investment and productivity improvements needed for economic growth. Finally, t</w:t>
      </w:r>
      <w:r w:rsidRPr="00BD1A8E">
        <w:rPr>
          <w:rFonts w:ascii="Bookman Old Style" w:hAnsi="Bookman Old Style"/>
          <w:sz w:val="24"/>
          <w:szCs w:val="24"/>
        </w:rPr>
        <w:t xml:space="preserve">rade facilitation improves government revenue. </w:t>
      </w:r>
      <w:r w:rsidRPr="00BD1A8E">
        <w:rPr>
          <w:rFonts w:ascii="Bookman Old Style" w:hAnsi="Bookman Old Style"/>
          <w:bCs/>
          <w:sz w:val="24"/>
          <w:szCs w:val="24"/>
        </w:rPr>
        <w:t xml:space="preserve">Measures such as customs reforms affect income distribution and poverty through changes in the government’s fiscal position, particularly if trade taxation is an important source of revenue. </w:t>
      </w:r>
      <w:r w:rsidRPr="00BD1A8E">
        <w:rPr>
          <w:rFonts w:ascii="Bookman Old Style" w:hAnsi="Bookman Old Style"/>
          <w:sz w:val="24"/>
          <w:szCs w:val="24"/>
        </w:rPr>
        <w:t xml:space="preserve">It reduces incentives for diversion, under-declaration of goods and other sharp practices that generally reduce government tariff revenues. The increase in </w:t>
      </w:r>
      <w:r w:rsidRPr="00BD1A8E">
        <w:rPr>
          <w:rFonts w:ascii="Bookman Old Style" w:hAnsi="Bookman Old Style"/>
          <w:bCs/>
          <w:sz w:val="24"/>
          <w:szCs w:val="24"/>
        </w:rPr>
        <w:t>government revenue often translates to increased ability for pro-poor expenditures.</w:t>
      </w:r>
    </w:p>
    <w:p w14:paraId="3E325C0A" w14:textId="1FB2579C" w:rsidR="00FB5722" w:rsidRPr="00BD1A8E" w:rsidRDefault="00FB5722" w:rsidP="00FB5722">
      <w:pPr>
        <w:rPr>
          <w:rFonts w:ascii="Bookman Old Style" w:hAnsi="Bookman Old Style"/>
          <w:color w:val="1A1A1A"/>
          <w:sz w:val="24"/>
          <w:szCs w:val="24"/>
        </w:rPr>
      </w:pPr>
    </w:p>
    <w:p w14:paraId="2D01B8BC" w14:textId="77777777" w:rsidR="00FB5722" w:rsidRPr="00BD1A8E" w:rsidRDefault="00FB5722" w:rsidP="00FB5722">
      <w:pPr>
        <w:spacing w:after="0" w:line="360" w:lineRule="auto"/>
        <w:rPr>
          <w:rFonts w:ascii="Bookman Old Style" w:hAnsi="Bookman Old Style"/>
          <w:sz w:val="24"/>
          <w:szCs w:val="24"/>
        </w:rPr>
      </w:pPr>
      <w:r w:rsidRPr="00BD1A8E">
        <w:rPr>
          <w:rFonts w:ascii="Bookman Old Style" w:hAnsi="Bookman Old Style"/>
          <w:b/>
          <w:sz w:val="24"/>
          <w:szCs w:val="24"/>
        </w:rPr>
        <w:t>5.2: Trade Performance of Nigeria</w:t>
      </w:r>
      <w:r w:rsidRPr="00BD1A8E">
        <w:rPr>
          <w:rFonts w:ascii="Bookman Old Style" w:hAnsi="Bookman Old Style"/>
          <w:sz w:val="24"/>
          <w:szCs w:val="24"/>
        </w:rPr>
        <w:t xml:space="preserve"> </w:t>
      </w:r>
    </w:p>
    <w:p w14:paraId="3618DA9D" w14:textId="75AA41FC" w:rsidR="00FB5722" w:rsidRPr="00BD1A8E" w:rsidRDefault="00FB5722" w:rsidP="00FB5722">
      <w:pPr>
        <w:spacing w:after="0" w:line="240" w:lineRule="auto"/>
        <w:jc w:val="both"/>
        <w:rPr>
          <w:rFonts w:ascii="Bookman Old Style" w:hAnsi="Bookman Old Style"/>
          <w:sz w:val="24"/>
          <w:szCs w:val="24"/>
        </w:rPr>
      </w:pPr>
      <w:r w:rsidRPr="00BD1A8E">
        <w:rPr>
          <w:rFonts w:ascii="Bookman Old Style" w:hAnsi="Bookman Old Style"/>
          <w:sz w:val="24"/>
          <w:szCs w:val="24"/>
        </w:rPr>
        <w:t>The behavio</w:t>
      </w:r>
      <w:r w:rsidR="00537DA3">
        <w:rPr>
          <w:rFonts w:ascii="Bookman Old Style" w:hAnsi="Bookman Old Style"/>
          <w:sz w:val="24"/>
          <w:szCs w:val="24"/>
        </w:rPr>
        <w:t>u</w:t>
      </w:r>
      <w:r w:rsidRPr="00BD1A8E">
        <w:rPr>
          <w:rFonts w:ascii="Bookman Old Style" w:hAnsi="Bookman Old Style"/>
          <w:sz w:val="24"/>
          <w:szCs w:val="24"/>
        </w:rPr>
        <w:t>r of selected macroeconomic indicators suggests that the growth rate of GDP was not stable between 2000 and 2013, but moved from 5.4% in 2000</w:t>
      </w:r>
      <w:r w:rsidRPr="00BD1A8E">
        <w:rPr>
          <w:rFonts w:ascii="Bookman Old Style" w:hAnsi="Bookman Old Style"/>
          <w:sz w:val="20"/>
          <w:szCs w:val="20"/>
        </w:rPr>
        <w:t xml:space="preserve"> </w:t>
      </w:r>
      <w:r w:rsidRPr="00BD1A8E">
        <w:rPr>
          <w:rFonts w:ascii="Bookman Old Style" w:hAnsi="Bookman Old Style"/>
          <w:sz w:val="24"/>
          <w:szCs w:val="24"/>
        </w:rPr>
        <w:t>to 7.0 % in 2009 and 6.95% in 2013. Per capita income grew higher in the late 2000s compared to the early 2000s.  Until 2004, an average Nigerians lived on less than $2 per day, bu</w:t>
      </w:r>
      <w:r w:rsidRPr="00BD1A8E">
        <w:rPr>
          <w:rFonts w:ascii="Bookman Old Style" w:hAnsi="Bookman Old Style"/>
          <w:sz w:val="20"/>
          <w:szCs w:val="20"/>
        </w:rPr>
        <w:t>t</w:t>
      </w:r>
      <w:r w:rsidRPr="00BD1A8E">
        <w:rPr>
          <w:rFonts w:ascii="Bookman Old Style" w:hAnsi="Bookman Old Style"/>
          <w:sz w:val="24"/>
          <w:szCs w:val="24"/>
        </w:rPr>
        <w:t xml:space="preserve"> since 2005, i</w:t>
      </w:r>
      <w:r w:rsidRPr="00BD1A8E">
        <w:rPr>
          <w:rFonts w:ascii="Bookman Old Style" w:hAnsi="Bookman Old Style"/>
          <w:sz w:val="20"/>
          <w:szCs w:val="20"/>
        </w:rPr>
        <w:t>t</w:t>
      </w:r>
      <w:r w:rsidRPr="00BD1A8E">
        <w:rPr>
          <w:rFonts w:ascii="Bookman Old Style" w:hAnsi="Bookman Old Style"/>
          <w:sz w:val="24"/>
          <w:szCs w:val="24"/>
        </w:rPr>
        <w:t xml:space="preserve"> has increased, and by 2013, i</w:t>
      </w:r>
      <w:r w:rsidRPr="00BD1A8E">
        <w:rPr>
          <w:rFonts w:ascii="Bookman Old Style" w:hAnsi="Bookman Old Style"/>
          <w:sz w:val="20"/>
          <w:szCs w:val="20"/>
        </w:rPr>
        <w:t>t</w:t>
      </w:r>
      <w:r w:rsidRPr="00BD1A8E">
        <w:rPr>
          <w:rFonts w:ascii="Bookman Old Style" w:hAnsi="Bookman Old Style"/>
          <w:sz w:val="24"/>
          <w:szCs w:val="24"/>
        </w:rPr>
        <w:t xml:space="preserve"> was abou</w:t>
      </w:r>
      <w:r w:rsidRPr="00BD1A8E">
        <w:rPr>
          <w:rFonts w:ascii="Bookman Old Style" w:hAnsi="Bookman Old Style"/>
          <w:sz w:val="20"/>
          <w:szCs w:val="20"/>
        </w:rPr>
        <w:t>t</w:t>
      </w:r>
      <w:r w:rsidRPr="00BD1A8E">
        <w:rPr>
          <w:rFonts w:ascii="Bookman Old Style" w:hAnsi="Bookman Old Style"/>
          <w:sz w:val="24"/>
          <w:szCs w:val="24"/>
        </w:rPr>
        <w:t xml:space="preserve"> $3.5 per day. Meanwhile, despite the success story in term of GDP and per capita income growth, the poverty level is high. For instance, in 2005, about 46 percent of Nigerians were poor because they could not afford $2 per day, but by 2013, the figure rose to over 52 percent of the populace. However, the level of literacy has improved, as it rose from 77.2 percent in 2003 to 88.7 percent in 2006 but fell slightly to about 70 percent in 2012. Secondary school enrolment rate has also improved, moving from 24.3 percent in 2000 to 42.0 percent in 2013. </w:t>
      </w:r>
    </w:p>
    <w:p w14:paraId="72879C76" w14:textId="77777777" w:rsidR="00FB5722" w:rsidRPr="00BD1A8E" w:rsidRDefault="00FB5722" w:rsidP="00FB5722">
      <w:pPr>
        <w:spacing w:after="0" w:line="240" w:lineRule="auto"/>
        <w:jc w:val="both"/>
        <w:rPr>
          <w:rFonts w:ascii="Bookman Old Style" w:hAnsi="Bookman Old Style"/>
          <w:sz w:val="24"/>
          <w:szCs w:val="24"/>
        </w:rPr>
      </w:pPr>
      <w:r w:rsidRPr="00BD1A8E">
        <w:rPr>
          <w:rFonts w:ascii="Bookman Old Style" w:hAnsi="Bookman Old Style"/>
          <w:sz w:val="24"/>
          <w:szCs w:val="24"/>
        </w:rPr>
        <w:t xml:space="preserve"> </w:t>
      </w:r>
    </w:p>
    <w:p w14:paraId="578A5C7E" w14:textId="77777777" w:rsidR="00FB5722" w:rsidRPr="00BD1A8E" w:rsidRDefault="00FB5722" w:rsidP="00FB5722">
      <w:pPr>
        <w:spacing w:after="0" w:line="240" w:lineRule="auto"/>
        <w:jc w:val="both"/>
        <w:rPr>
          <w:rFonts w:ascii="Bookman Old Style" w:hAnsi="Bookman Old Style"/>
          <w:sz w:val="24"/>
          <w:szCs w:val="24"/>
        </w:rPr>
      </w:pPr>
      <w:r w:rsidRPr="00BD1A8E">
        <w:rPr>
          <w:rFonts w:ascii="Bookman Old Style" w:hAnsi="Bookman Old Style"/>
          <w:sz w:val="24"/>
          <w:szCs w:val="24"/>
        </w:rPr>
        <w:t xml:space="preserve">The movement of foreign reserve is a reflection of the trend of current account balance that the country experienced since 2000. As can be observed, the ratio of current account balance to GDP fell from 16.2 percent in 2000 to 5.0 percent in 2003 but rose dramatically to 32.5 percent in 2005, after which there was continuous decline. Also in the financial sector, the performance of the capital market has improved. The market capitalization of listed companies in Nigeria progressed over time.  As a percentage of GDP, market capitalization rose from 9.2 percent in 2000 to 17.2 percent in 2005 and then to 52.0 percent in 2007 before it fell to 21.5 </w:t>
      </w:r>
      <w:r w:rsidRPr="00BD1A8E">
        <w:rPr>
          <w:rFonts w:ascii="Bookman Old Style" w:hAnsi="Bookman Old Style"/>
          <w:sz w:val="24"/>
          <w:szCs w:val="24"/>
        </w:rPr>
        <w:lastRenderedPageBreak/>
        <w:t>percent in 2012.  The marked decline experienced in 2008 and beyond was a reflection of the aftermath of the global financial crisis which began in 2007. With respect to the external sector, the share of exports in GDP which was 54 percent in 2000 fell to 38.2 percent in 2010, but rose to 55.4 percent in 2012. Among the factors could account for this instability are oil price fluctuation, lack of export diversification, and inadequate export supply response. Similarly, import share of GDP declined from 32.0 percent in 2000 to 30.4 and 34.2 percent in 2010 and 2013 respectively. The stock of external debt as a share of GDP was more than 77 percent of GDP in 2000, but declined consistently to 5.5 percent in 2007 as a result of foreign debt forgiveness that was granted to Nigeria in 2006. Subsequently, except in 2008, it has been less than 5.0 percent. The percentage share of net foreign direct investment (FDI) in GDP was very small, ranging from 2.2 percent in 2002 to 5.1 percent in 2009 and 3.4 percent in 2013. This shows that the capacity of the economy to attract foreign investment is very low. Exchange rate depreciated from US$1:N101.7 (official rate) in 2000 to US$</w:t>
      </w:r>
      <w:r w:rsidRPr="00BD1A8E">
        <w:rPr>
          <w:rFonts w:ascii="Bookman Old Style" w:hAnsi="Bookman Old Style"/>
          <w:b/>
          <w:sz w:val="24"/>
          <w:szCs w:val="24"/>
        </w:rPr>
        <w:t>1:</w:t>
      </w:r>
      <w:r w:rsidRPr="00BD1A8E">
        <w:rPr>
          <w:rFonts w:ascii="Bookman Old Style" w:hAnsi="Bookman Old Style"/>
          <w:sz w:val="24"/>
          <w:szCs w:val="24"/>
        </w:rPr>
        <w:t xml:space="preserve">N131.2 in 2005 (about five years later), and by 2013, the official exchange rate was around US$1:N156.00.  </w:t>
      </w:r>
    </w:p>
    <w:p w14:paraId="720B30E7" w14:textId="77777777" w:rsidR="00FB5722" w:rsidRPr="00BD1A8E" w:rsidRDefault="00FB5722" w:rsidP="00FB5722">
      <w:pPr>
        <w:pStyle w:val="NoSpacing"/>
        <w:rPr>
          <w:rFonts w:ascii="Bookman Old Style" w:hAnsi="Bookman Old Style"/>
        </w:rPr>
      </w:pPr>
    </w:p>
    <w:p w14:paraId="325FF3AC" w14:textId="77777777" w:rsidR="00FB5722" w:rsidRPr="00BD1A8E" w:rsidRDefault="00FB5722" w:rsidP="00FB5722">
      <w:pPr>
        <w:spacing w:after="0" w:line="240" w:lineRule="auto"/>
        <w:jc w:val="both"/>
        <w:rPr>
          <w:rFonts w:ascii="Bookman Old Style" w:hAnsi="Bookman Old Style"/>
          <w:sz w:val="24"/>
          <w:szCs w:val="24"/>
        </w:rPr>
      </w:pPr>
      <w:r w:rsidRPr="00BD1A8E">
        <w:rPr>
          <w:rFonts w:ascii="Bookman Old Style" w:hAnsi="Bookman Old Style"/>
          <w:sz w:val="24"/>
          <w:szCs w:val="24"/>
        </w:rPr>
        <w:t xml:space="preserve">The values of Nigeria’s exports increased over the period of 2003 to 2012 with the exception of 2007 and 2009 (Table 2.1). The total value of exports in 2003 was USD24.2billion and it increased to USD144.2 billion. Between 2013 and 2015, the Nigeria’s exports had decreased. It is worthy to know that between 2014 and 2015, there was significant reduction in Nigeria’s exports. </w:t>
      </w:r>
    </w:p>
    <w:p w14:paraId="2613DABD" w14:textId="77777777" w:rsidR="00FB5722" w:rsidRPr="00BD1A8E" w:rsidRDefault="00FB5722" w:rsidP="00FB5722">
      <w:pPr>
        <w:spacing w:after="0" w:line="240" w:lineRule="auto"/>
        <w:jc w:val="both"/>
        <w:rPr>
          <w:rFonts w:ascii="Bookman Old Style" w:hAnsi="Bookman Old Style"/>
          <w:sz w:val="24"/>
          <w:szCs w:val="24"/>
        </w:rPr>
      </w:pPr>
    </w:p>
    <w:p w14:paraId="62BB428D" w14:textId="77777777" w:rsidR="00FB5722" w:rsidRPr="00BD1A8E" w:rsidRDefault="00FB5722" w:rsidP="00FB5722">
      <w:pPr>
        <w:spacing w:after="0" w:line="240" w:lineRule="auto"/>
        <w:jc w:val="both"/>
        <w:rPr>
          <w:rFonts w:ascii="Bookman Old Style" w:hAnsi="Bookman Old Style"/>
          <w:sz w:val="24"/>
          <w:szCs w:val="24"/>
        </w:rPr>
      </w:pPr>
    </w:p>
    <w:p w14:paraId="44F4F669" w14:textId="33FD8879" w:rsidR="00FB5722" w:rsidRPr="00BD1A8E" w:rsidRDefault="00D11CFF" w:rsidP="00FB5722">
      <w:pPr>
        <w:rPr>
          <w:rFonts w:ascii="Bookman Old Style" w:hAnsi="Bookman Old Style"/>
          <w:b/>
        </w:rPr>
      </w:pPr>
      <w:r>
        <w:rPr>
          <w:rFonts w:ascii="Bookman Old Style" w:hAnsi="Bookman Old Style"/>
          <w:b/>
        </w:rPr>
        <w:t>Table 5</w:t>
      </w:r>
      <w:r w:rsidR="00FB5722" w:rsidRPr="00BD1A8E">
        <w:rPr>
          <w:rFonts w:ascii="Bookman Old Style" w:hAnsi="Bookman Old Style"/>
          <w:b/>
        </w:rPr>
        <w:t>.1: Trade Performance of Nigeria</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5"/>
      </w:tblGrid>
      <w:tr w:rsidR="00FB5722" w:rsidRPr="00BD1A8E" w14:paraId="05F82891" w14:textId="77777777" w:rsidTr="00097064">
        <w:trPr>
          <w:trHeight w:val="440"/>
        </w:trPr>
        <w:tc>
          <w:tcPr>
            <w:tcW w:w="8075" w:type="dxa"/>
            <w:shd w:val="clear" w:color="auto" w:fill="244061"/>
          </w:tcPr>
          <w:p w14:paraId="049DF629" w14:textId="77777777" w:rsidR="00FB5722" w:rsidRPr="00BD1A8E" w:rsidRDefault="00FB5722" w:rsidP="0044041A">
            <w:pPr>
              <w:spacing w:after="0"/>
              <w:jc w:val="center"/>
              <w:rPr>
                <w:rFonts w:ascii="Bookman Old Style" w:hAnsi="Bookman Old Style"/>
                <w:b/>
              </w:rPr>
            </w:pPr>
          </w:p>
          <w:p w14:paraId="3AF93878" w14:textId="77777777" w:rsidR="00FB5722" w:rsidRPr="00BD1A8E" w:rsidRDefault="00FB5722" w:rsidP="0044041A">
            <w:pPr>
              <w:spacing w:after="0"/>
              <w:jc w:val="center"/>
              <w:rPr>
                <w:rFonts w:ascii="Bookman Old Style" w:hAnsi="Bookman Old Style"/>
                <w:b/>
              </w:rPr>
            </w:pPr>
            <w:r w:rsidRPr="00BD1A8E">
              <w:rPr>
                <w:rFonts w:ascii="Bookman Old Style" w:hAnsi="Bookman Old Style"/>
                <w:b/>
              </w:rPr>
              <w:t>Trade Performance of Nigeria</w:t>
            </w:r>
          </w:p>
        </w:tc>
      </w:tr>
    </w:tbl>
    <w:p w14:paraId="1C38F568" w14:textId="77777777" w:rsidR="00FB5722" w:rsidRPr="00BD1A8E" w:rsidRDefault="00FB5722" w:rsidP="00FB5722">
      <w:pPr>
        <w:spacing w:after="0"/>
        <w:rPr>
          <w:rFonts w:ascii="Bookman Old Style" w:hAnsi="Bookman Old Style"/>
          <w:vanish/>
        </w:rPr>
      </w:pPr>
    </w:p>
    <w:tbl>
      <w:tblPr>
        <w:tblW w:w="8075" w:type="dxa"/>
        <w:tblLook w:val="04A0" w:firstRow="1" w:lastRow="0" w:firstColumn="1" w:lastColumn="0" w:noHBand="0" w:noVBand="1"/>
      </w:tblPr>
      <w:tblGrid>
        <w:gridCol w:w="952"/>
        <w:gridCol w:w="2313"/>
        <w:gridCol w:w="1276"/>
        <w:gridCol w:w="2233"/>
        <w:gridCol w:w="1301"/>
      </w:tblGrid>
      <w:tr w:rsidR="00FB5722" w:rsidRPr="00BD1A8E" w14:paraId="5CD92061" w14:textId="77777777" w:rsidTr="00097064">
        <w:trPr>
          <w:trHeight w:val="251"/>
        </w:trPr>
        <w:tc>
          <w:tcPr>
            <w:tcW w:w="952" w:type="dxa"/>
            <w:tcBorders>
              <w:top w:val="single" w:sz="4" w:space="0" w:color="auto"/>
              <w:left w:val="single" w:sz="4" w:space="0" w:color="auto"/>
              <w:bottom w:val="single" w:sz="4" w:space="0" w:color="auto"/>
              <w:right w:val="single" w:sz="4" w:space="0" w:color="auto"/>
            </w:tcBorders>
            <w:shd w:val="clear" w:color="auto" w:fill="B8CCE4"/>
            <w:noWrap/>
            <w:vAlign w:val="bottom"/>
            <w:hideMark/>
          </w:tcPr>
          <w:p w14:paraId="502B4922" w14:textId="77777777" w:rsidR="00FB5722" w:rsidRPr="00BD1A8E" w:rsidRDefault="00FB5722" w:rsidP="0044041A">
            <w:pPr>
              <w:spacing w:after="0" w:line="240" w:lineRule="auto"/>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Year</w:t>
            </w:r>
          </w:p>
        </w:tc>
        <w:tc>
          <w:tcPr>
            <w:tcW w:w="2313" w:type="dxa"/>
            <w:tcBorders>
              <w:top w:val="single" w:sz="4" w:space="0" w:color="auto"/>
              <w:left w:val="nil"/>
              <w:bottom w:val="single" w:sz="4" w:space="0" w:color="auto"/>
              <w:right w:val="single" w:sz="4" w:space="0" w:color="auto"/>
            </w:tcBorders>
            <w:shd w:val="clear" w:color="auto" w:fill="B8CCE4"/>
            <w:noWrap/>
            <w:vAlign w:val="bottom"/>
            <w:hideMark/>
          </w:tcPr>
          <w:p w14:paraId="27A17997" w14:textId="77777777" w:rsidR="00FB5722" w:rsidRPr="00BD1A8E" w:rsidRDefault="00FB5722" w:rsidP="0044041A">
            <w:pPr>
              <w:spacing w:after="0" w:line="240" w:lineRule="auto"/>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Total Imports (Million)</w:t>
            </w:r>
          </w:p>
        </w:tc>
        <w:tc>
          <w:tcPr>
            <w:tcW w:w="1276" w:type="dxa"/>
            <w:tcBorders>
              <w:top w:val="single" w:sz="4" w:space="0" w:color="auto"/>
              <w:left w:val="nil"/>
              <w:bottom w:val="single" w:sz="4" w:space="0" w:color="auto"/>
              <w:right w:val="single" w:sz="4" w:space="0" w:color="auto"/>
            </w:tcBorders>
            <w:shd w:val="clear" w:color="auto" w:fill="B8CCE4"/>
            <w:noWrap/>
            <w:vAlign w:val="bottom"/>
            <w:hideMark/>
          </w:tcPr>
          <w:p w14:paraId="78C26055" w14:textId="77777777" w:rsidR="00FB5722" w:rsidRPr="00BD1A8E" w:rsidRDefault="00FB5722" w:rsidP="0044041A">
            <w:pPr>
              <w:spacing w:after="0" w:line="240" w:lineRule="auto"/>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GR for Imports (%)</w:t>
            </w:r>
          </w:p>
        </w:tc>
        <w:tc>
          <w:tcPr>
            <w:tcW w:w="2233" w:type="dxa"/>
            <w:tcBorders>
              <w:top w:val="single" w:sz="4" w:space="0" w:color="auto"/>
              <w:left w:val="nil"/>
              <w:bottom w:val="single" w:sz="4" w:space="0" w:color="auto"/>
              <w:right w:val="single" w:sz="4" w:space="0" w:color="auto"/>
            </w:tcBorders>
            <w:shd w:val="clear" w:color="auto" w:fill="B8CCE4"/>
            <w:noWrap/>
            <w:vAlign w:val="bottom"/>
            <w:hideMark/>
          </w:tcPr>
          <w:p w14:paraId="53F68BD9" w14:textId="77777777" w:rsidR="00FB5722" w:rsidRPr="00BD1A8E" w:rsidRDefault="00FB5722" w:rsidP="0044041A">
            <w:pPr>
              <w:spacing w:after="0" w:line="240" w:lineRule="auto"/>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Total Exports (Million)</w:t>
            </w:r>
          </w:p>
        </w:tc>
        <w:tc>
          <w:tcPr>
            <w:tcW w:w="1301" w:type="dxa"/>
            <w:tcBorders>
              <w:top w:val="single" w:sz="4" w:space="0" w:color="auto"/>
              <w:left w:val="nil"/>
              <w:bottom w:val="single" w:sz="4" w:space="0" w:color="auto"/>
              <w:right w:val="single" w:sz="4" w:space="0" w:color="auto"/>
            </w:tcBorders>
            <w:shd w:val="clear" w:color="auto" w:fill="B8CCE4"/>
            <w:noWrap/>
            <w:vAlign w:val="bottom"/>
            <w:hideMark/>
          </w:tcPr>
          <w:p w14:paraId="345FDE1F" w14:textId="77777777" w:rsidR="00FB5722" w:rsidRPr="00BD1A8E" w:rsidRDefault="00FB5722" w:rsidP="0044041A">
            <w:pPr>
              <w:spacing w:after="0" w:line="240" w:lineRule="auto"/>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GR for Exports (%)</w:t>
            </w:r>
          </w:p>
        </w:tc>
      </w:tr>
      <w:tr w:rsidR="00FB5722" w:rsidRPr="00BD1A8E" w14:paraId="5F937E0D" w14:textId="77777777" w:rsidTr="00097064">
        <w:trPr>
          <w:trHeight w:val="251"/>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0BC1045"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2003</w:t>
            </w:r>
          </w:p>
        </w:tc>
        <w:tc>
          <w:tcPr>
            <w:tcW w:w="2313" w:type="dxa"/>
            <w:tcBorders>
              <w:top w:val="nil"/>
              <w:left w:val="nil"/>
              <w:bottom w:val="single" w:sz="4" w:space="0" w:color="auto"/>
              <w:right w:val="single" w:sz="4" w:space="0" w:color="auto"/>
            </w:tcBorders>
            <w:shd w:val="clear" w:color="auto" w:fill="auto"/>
            <w:noWrap/>
            <w:vAlign w:val="bottom"/>
            <w:hideMark/>
          </w:tcPr>
          <w:p w14:paraId="19C8D12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14,775</w:t>
            </w:r>
          </w:p>
        </w:tc>
        <w:tc>
          <w:tcPr>
            <w:tcW w:w="1276" w:type="dxa"/>
            <w:tcBorders>
              <w:top w:val="nil"/>
              <w:left w:val="nil"/>
              <w:bottom w:val="single" w:sz="4" w:space="0" w:color="auto"/>
              <w:right w:val="single" w:sz="4" w:space="0" w:color="auto"/>
            </w:tcBorders>
            <w:shd w:val="clear" w:color="auto" w:fill="auto"/>
            <w:noWrap/>
            <w:vAlign w:val="bottom"/>
            <w:hideMark/>
          </w:tcPr>
          <w:p w14:paraId="480D8855"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0</w:t>
            </w:r>
          </w:p>
        </w:tc>
        <w:tc>
          <w:tcPr>
            <w:tcW w:w="2233" w:type="dxa"/>
            <w:tcBorders>
              <w:top w:val="nil"/>
              <w:left w:val="nil"/>
              <w:bottom w:val="single" w:sz="4" w:space="0" w:color="auto"/>
              <w:right w:val="single" w:sz="4" w:space="0" w:color="auto"/>
            </w:tcBorders>
            <w:shd w:val="clear" w:color="auto" w:fill="auto"/>
            <w:noWrap/>
            <w:vAlign w:val="bottom"/>
            <w:hideMark/>
          </w:tcPr>
          <w:p w14:paraId="4A340EAD"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24,186</w:t>
            </w:r>
          </w:p>
        </w:tc>
        <w:tc>
          <w:tcPr>
            <w:tcW w:w="1301" w:type="dxa"/>
            <w:tcBorders>
              <w:top w:val="nil"/>
              <w:left w:val="nil"/>
              <w:bottom w:val="single" w:sz="4" w:space="0" w:color="auto"/>
              <w:right w:val="single" w:sz="4" w:space="0" w:color="auto"/>
            </w:tcBorders>
            <w:shd w:val="clear" w:color="auto" w:fill="auto"/>
            <w:noWrap/>
            <w:vAlign w:val="bottom"/>
            <w:hideMark/>
          </w:tcPr>
          <w:p w14:paraId="4A23EEF8"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0</w:t>
            </w:r>
          </w:p>
        </w:tc>
      </w:tr>
      <w:tr w:rsidR="00FB5722" w:rsidRPr="00BD1A8E" w14:paraId="12EC6915" w14:textId="77777777" w:rsidTr="00097064">
        <w:trPr>
          <w:trHeight w:val="251"/>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857B062"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2004</w:t>
            </w:r>
          </w:p>
        </w:tc>
        <w:tc>
          <w:tcPr>
            <w:tcW w:w="2313" w:type="dxa"/>
            <w:tcBorders>
              <w:top w:val="nil"/>
              <w:left w:val="nil"/>
              <w:bottom w:val="single" w:sz="4" w:space="0" w:color="auto"/>
              <w:right w:val="single" w:sz="4" w:space="0" w:color="auto"/>
            </w:tcBorders>
            <w:shd w:val="clear" w:color="auto" w:fill="auto"/>
            <w:noWrap/>
            <w:vAlign w:val="bottom"/>
            <w:hideMark/>
          </w:tcPr>
          <w:p w14:paraId="17167C84"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10,889</w:t>
            </w:r>
          </w:p>
        </w:tc>
        <w:tc>
          <w:tcPr>
            <w:tcW w:w="1276" w:type="dxa"/>
            <w:tcBorders>
              <w:top w:val="nil"/>
              <w:left w:val="nil"/>
              <w:bottom w:val="single" w:sz="4" w:space="0" w:color="auto"/>
              <w:right w:val="single" w:sz="4" w:space="0" w:color="auto"/>
            </w:tcBorders>
            <w:shd w:val="clear" w:color="auto" w:fill="auto"/>
            <w:noWrap/>
            <w:vAlign w:val="bottom"/>
            <w:hideMark/>
          </w:tcPr>
          <w:p w14:paraId="54B3906B"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-26</w:t>
            </w:r>
          </w:p>
        </w:tc>
        <w:tc>
          <w:tcPr>
            <w:tcW w:w="2233" w:type="dxa"/>
            <w:tcBorders>
              <w:top w:val="nil"/>
              <w:left w:val="nil"/>
              <w:bottom w:val="single" w:sz="4" w:space="0" w:color="auto"/>
              <w:right w:val="single" w:sz="4" w:space="0" w:color="auto"/>
            </w:tcBorders>
            <w:shd w:val="clear" w:color="auto" w:fill="auto"/>
            <w:noWrap/>
            <w:vAlign w:val="bottom"/>
            <w:hideMark/>
          </w:tcPr>
          <w:p w14:paraId="07B8491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38,588</w:t>
            </w:r>
          </w:p>
        </w:tc>
        <w:tc>
          <w:tcPr>
            <w:tcW w:w="1301" w:type="dxa"/>
            <w:tcBorders>
              <w:top w:val="nil"/>
              <w:left w:val="nil"/>
              <w:bottom w:val="single" w:sz="4" w:space="0" w:color="auto"/>
              <w:right w:val="single" w:sz="4" w:space="0" w:color="auto"/>
            </w:tcBorders>
            <w:shd w:val="clear" w:color="auto" w:fill="auto"/>
            <w:noWrap/>
            <w:vAlign w:val="bottom"/>
            <w:hideMark/>
          </w:tcPr>
          <w:p w14:paraId="43D9BB1F"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60</w:t>
            </w:r>
          </w:p>
        </w:tc>
      </w:tr>
      <w:tr w:rsidR="00FB5722" w:rsidRPr="00BD1A8E" w14:paraId="53729E6F" w14:textId="77777777" w:rsidTr="00097064">
        <w:trPr>
          <w:trHeight w:val="251"/>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28815C9"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2005</w:t>
            </w:r>
          </w:p>
        </w:tc>
        <w:tc>
          <w:tcPr>
            <w:tcW w:w="2313" w:type="dxa"/>
            <w:tcBorders>
              <w:top w:val="nil"/>
              <w:left w:val="nil"/>
              <w:bottom w:val="single" w:sz="4" w:space="0" w:color="auto"/>
              <w:right w:val="single" w:sz="4" w:space="0" w:color="auto"/>
            </w:tcBorders>
            <w:shd w:val="clear" w:color="auto" w:fill="auto"/>
            <w:noWrap/>
            <w:vAlign w:val="bottom"/>
            <w:hideMark/>
          </w:tcPr>
          <w:p w14:paraId="09B87A9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12,762</w:t>
            </w:r>
          </w:p>
        </w:tc>
        <w:tc>
          <w:tcPr>
            <w:tcW w:w="1276" w:type="dxa"/>
            <w:tcBorders>
              <w:top w:val="nil"/>
              <w:left w:val="nil"/>
              <w:bottom w:val="single" w:sz="4" w:space="0" w:color="auto"/>
              <w:right w:val="single" w:sz="4" w:space="0" w:color="auto"/>
            </w:tcBorders>
            <w:shd w:val="clear" w:color="auto" w:fill="auto"/>
            <w:noWrap/>
            <w:vAlign w:val="bottom"/>
            <w:hideMark/>
          </w:tcPr>
          <w:p w14:paraId="0544B487"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17</w:t>
            </w:r>
          </w:p>
        </w:tc>
        <w:tc>
          <w:tcPr>
            <w:tcW w:w="2233" w:type="dxa"/>
            <w:tcBorders>
              <w:top w:val="nil"/>
              <w:left w:val="nil"/>
              <w:bottom w:val="single" w:sz="4" w:space="0" w:color="auto"/>
              <w:right w:val="single" w:sz="4" w:space="0" w:color="auto"/>
            </w:tcBorders>
            <w:shd w:val="clear" w:color="auto" w:fill="auto"/>
            <w:noWrap/>
            <w:vAlign w:val="bottom"/>
            <w:hideMark/>
          </w:tcPr>
          <w:p w14:paraId="37CE4A34"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50,465</w:t>
            </w:r>
          </w:p>
        </w:tc>
        <w:tc>
          <w:tcPr>
            <w:tcW w:w="1301" w:type="dxa"/>
            <w:tcBorders>
              <w:top w:val="nil"/>
              <w:left w:val="nil"/>
              <w:bottom w:val="single" w:sz="4" w:space="0" w:color="auto"/>
              <w:right w:val="single" w:sz="4" w:space="0" w:color="auto"/>
            </w:tcBorders>
            <w:shd w:val="clear" w:color="auto" w:fill="auto"/>
            <w:noWrap/>
            <w:vAlign w:val="bottom"/>
            <w:hideMark/>
          </w:tcPr>
          <w:p w14:paraId="00017859"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31</w:t>
            </w:r>
          </w:p>
        </w:tc>
      </w:tr>
      <w:tr w:rsidR="00FB5722" w:rsidRPr="00BD1A8E" w14:paraId="24EA320E" w14:textId="77777777" w:rsidTr="00097064">
        <w:trPr>
          <w:trHeight w:val="251"/>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F34F9B1"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2006</w:t>
            </w:r>
          </w:p>
        </w:tc>
        <w:tc>
          <w:tcPr>
            <w:tcW w:w="2313" w:type="dxa"/>
            <w:tcBorders>
              <w:top w:val="nil"/>
              <w:left w:val="nil"/>
              <w:bottom w:val="single" w:sz="4" w:space="0" w:color="auto"/>
              <w:right w:val="single" w:sz="4" w:space="0" w:color="auto"/>
            </w:tcBorders>
            <w:shd w:val="clear" w:color="auto" w:fill="auto"/>
            <w:noWrap/>
            <w:vAlign w:val="bottom"/>
            <w:hideMark/>
          </w:tcPr>
          <w:p w14:paraId="5E5BDC2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22,590</w:t>
            </w:r>
          </w:p>
        </w:tc>
        <w:tc>
          <w:tcPr>
            <w:tcW w:w="1276" w:type="dxa"/>
            <w:tcBorders>
              <w:top w:val="nil"/>
              <w:left w:val="nil"/>
              <w:bottom w:val="single" w:sz="4" w:space="0" w:color="auto"/>
              <w:right w:val="single" w:sz="4" w:space="0" w:color="auto"/>
            </w:tcBorders>
            <w:shd w:val="clear" w:color="auto" w:fill="auto"/>
            <w:noWrap/>
            <w:vAlign w:val="bottom"/>
            <w:hideMark/>
          </w:tcPr>
          <w:p w14:paraId="051ACBAC"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77</w:t>
            </w:r>
          </w:p>
        </w:tc>
        <w:tc>
          <w:tcPr>
            <w:tcW w:w="2233" w:type="dxa"/>
            <w:tcBorders>
              <w:top w:val="nil"/>
              <w:left w:val="nil"/>
              <w:bottom w:val="single" w:sz="4" w:space="0" w:color="auto"/>
              <w:right w:val="single" w:sz="4" w:space="0" w:color="auto"/>
            </w:tcBorders>
            <w:shd w:val="clear" w:color="auto" w:fill="auto"/>
            <w:noWrap/>
            <w:vAlign w:val="bottom"/>
            <w:hideMark/>
          </w:tcPr>
          <w:p w14:paraId="70043BBB"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59,316</w:t>
            </w:r>
          </w:p>
        </w:tc>
        <w:tc>
          <w:tcPr>
            <w:tcW w:w="1301" w:type="dxa"/>
            <w:tcBorders>
              <w:top w:val="nil"/>
              <w:left w:val="nil"/>
              <w:bottom w:val="single" w:sz="4" w:space="0" w:color="auto"/>
              <w:right w:val="single" w:sz="4" w:space="0" w:color="auto"/>
            </w:tcBorders>
            <w:shd w:val="clear" w:color="auto" w:fill="auto"/>
            <w:noWrap/>
            <w:vAlign w:val="bottom"/>
            <w:hideMark/>
          </w:tcPr>
          <w:p w14:paraId="6D746240"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18</w:t>
            </w:r>
          </w:p>
        </w:tc>
      </w:tr>
      <w:tr w:rsidR="00FB5722" w:rsidRPr="00BD1A8E" w14:paraId="513060CA" w14:textId="77777777" w:rsidTr="00097064">
        <w:trPr>
          <w:trHeight w:val="251"/>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78EFFDA"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2007</w:t>
            </w:r>
          </w:p>
        </w:tc>
        <w:tc>
          <w:tcPr>
            <w:tcW w:w="2313" w:type="dxa"/>
            <w:tcBorders>
              <w:top w:val="nil"/>
              <w:left w:val="nil"/>
              <w:bottom w:val="single" w:sz="4" w:space="0" w:color="auto"/>
              <w:right w:val="single" w:sz="4" w:space="0" w:color="auto"/>
            </w:tcBorders>
            <w:shd w:val="clear" w:color="auto" w:fill="auto"/>
            <w:noWrap/>
            <w:vAlign w:val="bottom"/>
            <w:hideMark/>
          </w:tcPr>
          <w:p w14:paraId="53FA33F2"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32,604</w:t>
            </w:r>
          </w:p>
        </w:tc>
        <w:tc>
          <w:tcPr>
            <w:tcW w:w="1276" w:type="dxa"/>
            <w:tcBorders>
              <w:top w:val="nil"/>
              <w:left w:val="nil"/>
              <w:bottom w:val="single" w:sz="4" w:space="0" w:color="auto"/>
              <w:right w:val="single" w:sz="4" w:space="0" w:color="auto"/>
            </w:tcBorders>
            <w:shd w:val="clear" w:color="auto" w:fill="auto"/>
            <w:noWrap/>
            <w:vAlign w:val="bottom"/>
            <w:hideMark/>
          </w:tcPr>
          <w:p w14:paraId="40A7BE61"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44</w:t>
            </w:r>
          </w:p>
        </w:tc>
        <w:tc>
          <w:tcPr>
            <w:tcW w:w="2233" w:type="dxa"/>
            <w:tcBorders>
              <w:top w:val="nil"/>
              <w:left w:val="nil"/>
              <w:bottom w:val="single" w:sz="4" w:space="0" w:color="auto"/>
              <w:right w:val="single" w:sz="4" w:space="0" w:color="auto"/>
            </w:tcBorders>
            <w:shd w:val="clear" w:color="auto" w:fill="auto"/>
            <w:noWrap/>
            <w:vAlign w:val="bottom"/>
            <w:hideMark/>
          </w:tcPr>
          <w:p w14:paraId="7E3F658D"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54,795</w:t>
            </w:r>
          </w:p>
        </w:tc>
        <w:tc>
          <w:tcPr>
            <w:tcW w:w="1301" w:type="dxa"/>
            <w:tcBorders>
              <w:top w:val="nil"/>
              <w:left w:val="nil"/>
              <w:bottom w:val="single" w:sz="4" w:space="0" w:color="auto"/>
              <w:right w:val="single" w:sz="4" w:space="0" w:color="auto"/>
            </w:tcBorders>
            <w:shd w:val="clear" w:color="auto" w:fill="auto"/>
            <w:noWrap/>
            <w:vAlign w:val="bottom"/>
            <w:hideMark/>
          </w:tcPr>
          <w:p w14:paraId="6127DC04"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-8</w:t>
            </w:r>
          </w:p>
        </w:tc>
      </w:tr>
      <w:tr w:rsidR="00FB5722" w:rsidRPr="00BD1A8E" w14:paraId="4A8F49CF" w14:textId="77777777" w:rsidTr="00097064">
        <w:trPr>
          <w:trHeight w:val="251"/>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7FE0F55"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2008</w:t>
            </w:r>
          </w:p>
        </w:tc>
        <w:tc>
          <w:tcPr>
            <w:tcW w:w="2313" w:type="dxa"/>
            <w:tcBorders>
              <w:top w:val="nil"/>
              <w:left w:val="nil"/>
              <w:bottom w:val="single" w:sz="4" w:space="0" w:color="auto"/>
              <w:right w:val="single" w:sz="4" w:space="0" w:color="auto"/>
            </w:tcBorders>
            <w:shd w:val="clear" w:color="auto" w:fill="auto"/>
            <w:noWrap/>
            <w:vAlign w:val="bottom"/>
            <w:hideMark/>
          </w:tcPr>
          <w:p w14:paraId="789F0392"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27,753</w:t>
            </w:r>
          </w:p>
        </w:tc>
        <w:tc>
          <w:tcPr>
            <w:tcW w:w="1276" w:type="dxa"/>
            <w:tcBorders>
              <w:top w:val="nil"/>
              <w:left w:val="nil"/>
              <w:bottom w:val="single" w:sz="4" w:space="0" w:color="auto"/>
              <w:right w:val="single" w:sz="4" w:space="0" w:color="auto"/>
            </w:tcBorders>
            <w:shd w:val="clear" w:color="auto" w:fill="auto"/>
            <w:noWrap/>
            <w:vAlign w:val="bottom"/>
            <w:hideMark/>
          </w:tcPr>
          <w:p w14:paraId="0758F420"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-15</w:t>
            </w:r>
          </w:p>
        </w:tc>
        <w:tc>
          <w:tcPr>
            <w:tcW w:w="2233" w:type="dxa"/>
            <w:tcBorders>
              <w:top w:val="nil"/>
              <w:left w:val="nil"/>
              <w:bottom w:val="single" w:sz="4" w:space="0" w:color="auto"/>
              <w:right w:val="single" w:sz="4" w:space="0" w:color="auto"/>
            </w:tcBorders>
            <w:shd w:val="clear" w:color="auto" w:fill="auto"/>
            <w:noWrap/>
            <w:vAlign w:val="bottom"/>
            <w:hideMark/>
          </w:tcPr>
          <w:p w14:paraId="7A9A1B4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81,271</w:t>
            </w:r>
          </w:p>
        </w:tc>
        <w:tc>
          <w:tcPr>
            <w:tcW w:w="1301" w:type="dxa"/>
            <w:tcBorders>
              <w:top w:val="nil"/>
              <w:left w:val="nil"/>
              <w:bottom w:val="single" w:sz="4" w:space="0" w:color="auto"/>
              <w:right w:val="single" w:sz="4" w:space="0" w:color="auto"/>
            </w:tcBorders>
            <w:shd w:val="clear" w:color="auto" w:fill="auto"/>
            <w:noWrap/>
            <w:vAlign w:val="bottom"/>
            <w:hideMark/>
          </w:tcPr>
          <w:p w14:paraId="05167B92"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48</w:t>
            </w:r>
          </w:p>
        </w:tc>
      </w:tr>
      <w:tr w:rsidR="00FB5722" w:rsidRPr="00BD1A8E" w14:paraId="045B3D51" w14:textId="77777777" w:rsidTr="00097064">
        <w:trPr>
          <w:trHeight w:val="251"/>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60F65C2"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2009</w:t>
            </w:r>
          </w:p>
        </w:tc>
        <w:tc>
          <w:tcPr>
            <w:tcW w:w="2313" w:type="dxa"/>
            <w:tcBorders>
              <w:top w:val="nil"/>
              <w:left w:val="nil"/>
              <w:bottom w:val="single" w:sz="4" w:space="0" w:color="auto"/>
              <w:right w:val="single" w:sz="4" w:space="0" w:color="auto"/>
            </w:tcBorders>
            <w:shd w:val="clear" w:color="auto" w:fill="auto"/>
            <w:noWrap/>
            <w:vAlign w:val="bottom"/>
            <w:hideMark/>
          </w:tcPr>
          <w:p w14:paraId="47BFC254"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33,737</w:t>
            </w:r>
          </w:p>
        </w:tc>
        <w:tc>
          <w:tcPr>
            <w:tcW w:w="1276" w:type="dxa"/>
            <w:tcBorders>
              <w:top w:val="nil"/>
              <w:left w:val="nil"/>
              <w:bottom w:val="single" w:sz="4" w:space="0" w:color="auto"/>
              <w:right w:val="single" w:sz="4" w:space="0" w:color="auto"/>
            </w:tcBorders>
            <w:shd w:val="clear" w:color="auto" w:fill="auto"/>
            <w:noWrap/>
            <w:vAlign w:val="bottom"/>
            <w:hideMark/>
          </w:tcPr>
          <w:p w14:paraId="228EFE4A"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22</w:t>
            </w:r>
          </w:p>
        </w:tc>
        <w:tc>
          <w:tcPr>
            <w:tcW w:w="2233" w:type="dxa"/>
            <w:tcBorders>
              <w:top w:val="nil"/>
              <w:left w:val="nil"/>
              <w:bottom w:val="single" w:sz="4" w:space="0" w:color="auto"/>
              <w:right w:val="single" w:sz="4" w:space="0" w:color="auto"/>
            </w:tcBorders>
            <w:shd w:val="clear" w:color="auto" w:fill="auto"/>
            <w:noWrap/>
            <w:vAlign w:val="bottom"/>
            <w:hideMark/>
          </w:tcPr>
          <w:p w14:paraId="62BE1454"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49,747</w:t>
            </w:r>
          </w:p>
        </w:tc>
        <w:tc>
          <w:tcPr>
            <w:tcW w:w="1301" w:type="dxa"/>
            <w:tcBorders>
              <w:top w:val="nil"/>
              <w:left w:val="nil"/>
              <w:bottom w:val="single" w:sz="4" w:space="0" w:color="auto"/>
              <w:right w:val="single" w:sz="4" w:space="0" w:color="auto"/>
            </w:tcBorders>
            <w:shd w:val="clear" w:color="auto" w:fill="auto"/>
            <w:noWrap/>
            <w:vAlign w:val="bottom"/>
            <w:hideMark/>
          </w:tcPr>
          <w:p w14:paraId="311EC43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-39</w:t>
            </w:r>
          </w:p>
        </w:tc>
      </w:tr>
      <w:tr w:rsidR="00FB5722" w:rsidRPr="00BD1A8E" w14:paraId="32DEAB76" w14:textId="77777777" w:rsidTr="00097064">
        <w:trPr>
          <w:trHeight w:val="251"/>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B4C0825"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2010</w:t>
            </w:r>
          </w:p>
        </w:tc>
        <w:tc>
          <w:tcPr>
            <w:tcW w:w="2313" w:type="dxa"/>
            <w:tcBorders>
              <w:top w:val="nil"/>
              <w:left w:val="nil"/>
              <w:bottom w:val="single" w:sz="4" w:space="0" w:color="auto"/>
              <w:right w:val="single" w:sz="4" w:space="0" w:color="auto"/>
            </w:tcBorders>
            <w:shd w:val="clear" w:color="auto" w:fill="auto"/>
            <w:noWrap/>
            <w:vAlign w:val="bottom"/>
            <w:hideMark/>
          </w:tcPr>
          <w:p w14:paraId="6EE1445D"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44,046</w:t>
            </w:r>
          </w:p>
        </w:tc>
        <w:tc>
          <w:tcPr>
            <w:tcW w:w="1276" w:type="dxa"/>
            <w:tcBorders>
              <w:top w:val="nil"/>
              <w:left w:val="nil"/>
              <w:bottom w:val="single" w:sz="4" w:space="0" w:color="auto"/>
              <w:right w:val="single" w:sz="4" w:space="0" w:color="auto"/>
            </w:tcBorders>
            <w:shd w:val="clear" w:color="auto" w:fill="auto"/>
            <w:noWrap/>
            <w:vAlign w:val="bottom"/>
            <w:hideMark/>
          </w:tcPr>
          <w:p w14:paraId="53088438"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31</w:t>
            </w:r>
          </w:p>
        </w:tc>
        <w:tc>
          <w:tcPr>
            <w:tcW w:w="2233" w:type="dxa"/>
            <w:tcBorders>
              <w:top w:val="nil"/>
              <w:left w:val="nil"/>
              <w:bottom w:val="single" w:sz="4" w:space="0" w:color="auto"/>
              <w:right w:val="single" w:sz="4" w:space="0" w:color="auto"/>
            </w:tcBorders>
            <w:shd w:val="clear" w:color="auto" w:fill="auto"/>
            <w:noWrap/>
            <w:vAlign w:val="bottom"/>
            <w:hideMark/>
          </w:tcPr>
          <w:p w14:paraId="08C5297F"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86,522</w:t>
            </w:r>
          </w:p>
        </w:tc>
        <w:tc>
          <w:tcPr>
            <w:tcW w:w="1301" w:type="dxa"/>
            <w:tcBorders>
              <w:top w:val="nil"/>
              <w:left w:val="nil"/>
              <w:bottom w:val="single" w:sz="4" w:space="0" w:color="auto"/>
              <w:right w:val="single" w:sz="4" w:space="0" w:color="auto"/>
            </w:tcBorders>
            <w:shd w:val="clear" w:color="auto" w:fill="auto"/>
            <w:noWrap/>
            <w:vAlign w:val="bottom"/>
            <w:hideMark/>
          </w:tcPr>
          <w:p w14:paraId="0ED595C0"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74</w:t>
            </w:r>
          </w:p>
        </w:tc>
      </w:tr>
      <w:tr w:rsidR="00FB5722" w:rsidRPr="00BD1A8E" w14:paraId="6DA5DB6F" w14:textId="77777777" w:rsidTr="00097064">
        <w:trPr>
          <w:trHeight w:val="251"/>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3649700"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2011</w:t>
            </w:r>
          </w:p>
        </w:tc>
        <w:tc>
          <w:tcPr>
            <w:tcW w:w="2313" w:type="dxa"/>
            <w:tcBorders>
              <w:top w:val="nil"/>
              <w:left w:val="nil"/>
              <w:bottom w:val="single" w:sz="4" w:space="0" w:color="auto"/>
              <w:right w:val="single" w:sz="4" w:space="0" w:color="auto"/>
            </w:tcBorders>
            <w:shd w:val="clear" w:color="auto" w:fill="auto"/>
            <w:noWrap/>
            <w:vAlign w:val="bottom"/>
            <w:hideMark/>
          </w:tcPr>
          <w:p w14:paraId="65019943"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54,921</w:t>
            </w:r>
          </w:p>
        </w:tc>
        <w:tc>
          <w:tcPr>
            <w:tcW w:w="1276" w:type="dxa"/>
            <w:tcBorders>
              <w:top w:val="nil"/>
              <w:left w:val="nil"/>
              <w:bottom w:val="single" w:sz="4" w:space="0" w:color="auto"/>
              <w:right w:val="single" w:sz="4" w:space="0" w:color="auto"/>
            </w:tcBorders>
            <w:shd w:val="clear" w:color="auto" w:fill="auto"/>
            <w:noWrap/>
            <w:vAlign w:val="bottom"/>
            <w:hideMark/>
          </w:tcPr>
          <w:p w14:paraId="09619D5F"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25</w:t>
            </w:r>
          </w:p>
        </w:tc>
        <w:tc>
          <w:tcPr>
            <w:tcW w:w="2233" w:type="dxa"/>
            <w:tcBorders>
              <w:top w:val="nil"/>
              <w:left w:val="nil"/>
              <w:bottom w:val="single" w:sz="4" w:space="0" w:color="auto"/>
              <w:right w:val="single" w:sz="4" w:space="0" w:color="auto"/>
            </w:tcBorders>
            <w:shd w:val="clear" w:color="auto" w:fill="auto"/>
            <w:noWrap/>
            <w:vAlign w:val="bottom"/>
            <w:hideMark/>
          </w:tcPr>
          <w:p w14:paraId="00DF0CEC"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129,671</w:t>
            </w:r>
          </w:p>
        </w:tc>
        <w:tc>
          <w:tcPr>
            <w:tcW w:w="1301" w:type="dxa"/>
            <w:tcBorders>
              <w:top w:val="nil"/>
              <w:left w:val="nil"/>
              <w:bottom w:val="single" w:sz="4" w:space="0" w:color="auto"/>
              <w:right w:val="single" w:sz="4" w:space="0" w:color="auto"/>
            </w:tcBorders>
            <w:shd w:val="clear" w:color="auto" w:fill="auto"/>
            <w:noWrap/>
            <w:vAlign w:val="bottom"/>
            <w:hideMark/>
          </w:tcPr>
          <w:p w14:paraId="07FF712F"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50</w:t>
            </w:r>
          </w:p>
        </w:tc>
      </w:tr>
      <w:tr w:rsidR="00FB5722" w:rsidRPr="00BD1A8E" w14:paraId="0C782396" w14:textId="77777777" w:rsidTr="00097064">
        <w:trPr>
          <w:trHeight w:val="251"/>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EE021FB"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2012</w:t>
            </w:r>
          </w:p>
        </w:tc>
        <w:tc>
          <w:tcPr>
            <w:tcW w:w="2313" w:type="dxa"/>
            <w:tcBorders>
              <w:top w:val="nil"/>
              <w:left w:val="nil"/>
              <w:bottom w:val="single" w:sz="4" w:space="0" w:color="auto"/>
              <w:right w:val="single" w:sz="4" w:space="0" w:color="auto"/>
            </w:tcBorders>
            <w:shd w:val="clear" w:color="auto" w:fill="auto"/>
            <w:noWrap/>
            <w:vAlign w:val="bottom"/>
            <w:hideMark/>
          </w:tcPr>
          <w:p w14:paraId="47846496"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36,047</w:t>
            </w:r>
          </w:p>
        </w:tc>
        <w:tc>
          <w:tcPr>
            <w:tcW w:w="1276" w:type="dxa"/>
            <w:tcBorders>
              <w:top w:val="nil"/>
              <w:left w:val="nil"/>
              <w:bottom w:val="single" w:sz="4" w:space="0" w:color="auto"/>
              <w:right w:val="single" w:sz="4" w:space="0" w:color="auto"/>
            </w:tcBorders>
            <w:shd w:val="clear" w:color="auto" w:fill="auto"/>
            <w:noWrap/>
            <w:vAlign w:val="bottom"/>
            <w:hideMark/>
          </w:tcPr>
          <w:p w14:paraId="3D13B67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-34</w:t>
            </w:r>
          </w:p>
        </w:tc>
        <w:tc>
          <w:tcPr>
            <w:tcW w:w="2233" w:type="dxa"/>
            <w:tcBorders>
              <w:top w:val="nil"/>
              <w:left w:val="nil"/>
              <w:bottom w:val="single" w:sz="4" w:space="0" w:color="auto"/>
              <w:right w:val="single" w:sz="4" w:space="0" w:color="auto"/>
            </w:tcBorders>
            <w:shd w:val="clear" w:color="auto" w:fill="auto"/>
            <w:noWrap/>
            <w:vAlign w:val="bottom"/>
            <w:hideMark/>
          </w:tcPr>
          <w:p w14:paraId="384CDE1C"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144,211</w:t>
            </w:r>
          </w:p>
        </w:tc>
        <w:tc>
          <w:tcPr>
            <w:tcW w:w="1301" w:type="dxa"/>
            <w:tcBorders>
              <w:top w:val="nil"/>
              <w:left w:val="nil"/>
              <w:bottom w:val="single" w:sz="4" w:space="0" w:color="auto"/>
              <w:right w:val="single" w:sz="4" w:space="0" w:color="auto"/>
            </w:tcBorders>
            <w:shd w:val="clear" w:color="auto" w:fill="auto"/>
            <w:noWrap/>
            <w:vAlign w:val="bottom"/>
            <w:hideMark/>
          </w:tcPr>
          <w:p w14:paraId="77F1A5F2"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11</w:t>
            </w:r>
          </w:p>
        </w:tc>
      </w:tr>
      <w:tr w:rsidR="00FB5722" w:rsidRPr="00BD1A8E" w14:paraId="56BD36F0" w14:textId="77777777" w:rsidTr="00097064">
        <w:trPr>
          <w:trHeight w:val="251"/>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F9EFE8"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2013</w:t>
            </w:r>
          </w:p>
        </w:tc>
        <w:tc>
          <w:tcPr>
            <w:tcW w:w="2313" w:type="dxa"/>
            <w:tcBorders>
              <w:top w:val="nil"/>
              <w:left w:val="nil"/>
              <w:bottom w:val="single" w:sz="4" w:space="0" w:color="auto"/>
              <w:right w:val="single" w:sz="4" w:space="0" w:color="auto"/>
            </w:tcBorders>
            <w:shd w:val="clear" w:color="auto" w:fill="auto"/>
            <w:noWrap/>
            <w:vAlign w:val="bottom"/>
            <w:hideMark/>
          </w:tcPr>
          <w:p w14:paraId="4A757CE2"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45,192</w:t>
            </w:r>
          </w:p>
        </w:tc>
        <w:tc>
          <w:tcPr>
            <w:tcW w:w="1276" w:type="dxa"/>
            <w:tcBorders>
              <w:top w:val="nil"/>
              <w:left w:val="nil"/>
              <w:bottom w:val="single" w:sz="4" w:space="0" w:color="auto"/>
              <w:right w:val="single" w:sz="4" w:space="0" w:color="auto"/>
            </w:tcBorders>
            <w:shd w:val="clear" w:color="auto" w:fill="auto"/>
            <w:noWrap/>
            <w:vAlign w:val="bottom"/>
            <w:hideMark/>
          </w:tcPr>
          <w:p w14:paraId="1844CFA2"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25</w:t>
            </w:r>
          </w:p>
        </w:tc>
        <w:tc>
          <w:tcPr>
            <w:tcW w:w="2233" w:type="dxa"/>
            <w:tcBorders>
              <w:top w:val="nil"/>
              <w:left w:val="nil"/>
              <w:bottom w:val="single" w:sz="4" w:space="0" w:color="auto"/>
              <w:right w:val="single" w:sz="4" w:space="0" w:color="auto"/>
            </w:tcBorders>
            <w:shd w:val="clear" w:color="auto" w:fill="auto"/>
            <w:noWrap/>
            <w:vAlign w:val="bottom"/>
            <w:hideMark/>
          </w:tcPr>
          <w:p w14:paraId="22DE320D"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91,763</w:t>
            </w:r>
          </w:p>
        </w:tc>
        <w:tc>
          <w:tcPr>
            <w:tcW w:w="1301" w:type="dxa"/>
            <w:tcBorders>
              <w:top w:val="nil"/>
              <w:left w:val="nil"/>
              <w:bottom w:val="single" w:sz="4" w:space="0" w:color="auto"/>
              <w:right w:val="single" w:sz="4" w:space="0" w:color="auto"/>
            </w:tcBorders>
            <w:shd w:val="clear" w:color="auto" w:fill="auto"/>
            <w:noWrap/>
            <w:vAlign w:val="bottom"/>
            <w:hideMark/>
          </w:tcPr>
          <w:p w14:paraId="4132D90A"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-36</w:t>
            </w:r>
          </w:p>
        </w:tc>
      </w:tr>
      <w:tr w:rsidR="00FB5722" w:rsidRPr="00BD1A8E" w14:paraId="3F14B384" w14:textId="77777777" w:rsidTr="00097064">
        <w:trPr>
          <w:trHeight w:val="251"/>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3F17B04"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2014</w:t>
            </w:r>
          </w:p>
        </w:tc>
        <w:tc>
          <w:tcPr>
            <w:tcW w:w="2313" w:type="dxa"/>
            <w:tcBorders>
              <w:top w:val="nil"/>
              <w:left w:val="nil"/>
              <w:bottom w:val="single" w:sz="4" w:space="0" w:color="auto"/>
              <w:right w:val="single" w:sz="4" w:space="0" w:color="auto"/>
            </w:tcBorders>
            <w:shd w:val="clear" w:color="auto" w:fill="auto"/>
            <w:noWrap/>
            <w:vAlign w:val="bottom"/>
            <w:hideMark/>
          </w:tcPr>
          <w:p w14:paraId="52091C86"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46,351</w:t>
            </w:r>
          </w:p>
        </w:tc>
        <w:tc>
          <w:tcPr>
            <w:tcW w:w="1276" w:type="dxa"/>
            <w:tcBorders>
              <w:top w:val="nil"/>
              <w:left w:val="nil"/>
              <w:bottom w:val="single" w:sz="4" w:space="0" w:color="auto"/>
              <w:right w:val="single" w:sz="4" w:space="0" w:color="auto"/>
            </w:tcBorders>
            <w:shd w:val="clear" w:color="auto" w:fill="auto"/>
            <w:noWrap/>
            <w:vAlign w:val="bottom"/>
            <w:hideMark/>
          </w:tcPr>
          <w:p w14:paraId="429812E0"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w:t>
            </w:r>
          </w:p>
        </w:tc>
        <w:tc>
          <w:tcPr>
            <w:tcW w:w="2233" w:type="dxa"/>
            <w:tcBorders>
              <w:top w:val="nil"/>
              <w:left w:val="nil"/>
              <w:bottom w:val="single" w:sz="4" w:space="0" w:color="auto"/>
              <w:right w:val="single" w:sz="4" w:space="0" w:color="auto"/>
            </w:tcBorders>
            <w:shd w:val="clear" w:color="auto" w:fill="auto"/>
            <w:noWrap/>
            <w:vAlign w:val="bottom"/>
            <w:hideMark/>
          </w:tcPr>
          <w:p w14:paraId="5F18FF2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102,721</w:t>
            </w:r>
          </w:p>
        </w:tc>
        <w:tc>
          <w:tcPr>
            <w:tcW w:w="1301" w:type="dxa"/>
            <w:tcBorders>
              <w:top w:val="nil"/>
              <w:left w:val="nil"/>
              <w:bottom w:val="single" w:sz="4" w:space="0" w:color="auto"/>
              <w:right w:val="single" w:sz="4" w:space="0" w:color="auto"/>
            </w:tcBorders>
            <w:shd w:val="clear" w:color="auto" w:fill="auto"/>
            <w:noWrap/>
            <w:vAlign w:val="bottom"/>
            <w:hideMark/>
          </w:tcPr>
          <w:p w14:paraId="5D025F73"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12</w:t>
            </w:r>
          </w:p>
        </w:tc>
      </w:tr>
      <w:tr w:rsidR="00FB5722" w:rsidRPr="00BD1A8E" w14:paraId="5D0B86DE" w14:textId="77777777" w:rsidTr="00097064">
        <w:trPr>
          <w:trHeight w:val="251"/>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837A8A5"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2015</w:t>
            </w:r>
          </w:p>
        </w:tc>
        <w:tc>
          <w:tcPr>
            <w:tcW w:w="2313" w:type="dxa"/>
            <w:tcBorders>
              <w:top w:val="nil"/>
              <w:left w:val="nil"/>
              <w:bottom w:val="single" w:sz="4" w:space="0" w:color="auto"/>
              <w:right w:val="single" w:sz="4" w:space="0" w:color="auto"/>
            </w:tcBorders>
            <w:shd w:val="clear" w:color="auto" w:fill="auto"/>
            <w:noWrap/>
            <w:vAlign w:val="bottom"/>
            <w:hideMark/>
          </w:tcPr>
          <w:p w14:paraId="2A4D85A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33,754</w:t>
            </w:r>
          </w:p>
        </w:tc>
        <w:tc>
          <w:tcPr>
            <w:tcW w:w="1276" w:type="dxa"/>
            <w:tcBorders>
              <w:top w:val="nil"/>
              <w:left w:val="nil"/>
              <w:bottom w:val="single" w:sz="4" w:space="0" w:color="auto"/>
              <w:right w:val="single" w:sz="4" w:space="0" w:color="auto"/>
            </w:tcBorders>
            <w:shd w:val="clear" w:color="auto" w:fill="auto"/>
            <w:noWrap/>
            <w:vAlign w:val="bottom"/>
            <w:hideMark/>
          </w:tcPr>
          <w:p w14:paraId="7B0E1F7A"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-27</w:t>
            </w:r>
          </w:p>
        </w:tc>
        <w:tc>
          <w:tcPr>
            <w:tcW w:w="2233" w:type="dxa"/>
            <w:tcBorders>
              <w:top w:val="nil"/>
              <w:left w:val="nil"/>
              <w:bottom w:val="single" w:sz="4" w:space="0" w:color="auto"/>
              <w:right w:val="single" w:sz="4" w:space="0" w:color="auto"/>
            </w:tcBorders>
            <w:shd w:val="clear" w:color="auto" w:fill="auto"/>
            <w:noWrap/>
            <w:vAlign w:val="bottom"/>
            <w:hideMark/>
          </w:tcPr>
          <w:p w14:paraId="67DA7F28"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44,282</w:t>
            </w:r>
          </w:p>
        </w:tc>
        <w:tc>
          <w:tcPr>
            <w:tcW w:w="1301" w:type="dxa"/>
            <w:tcBorders>
              <w:top w:val="nil"/>
              <w:left w:val="nil"/>
              <w:bottom w:val="single" w:sz="4" w:space="0" w:color="auto"/>
              <w:right w:val="single" w:sz="4" w:space="0" w:color="auto"/>
            </w:tcBorders>
            <w:shd w:val="clear" w:color="auto" w:fill="auto"/>
            <w:noWrap/>
            <w:vAlign w:val="bottom"/>
            <w:hideMark/>
          </w:tcPr>
          <w:p w14:paraId="444D1AD7"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-57</w:t>
            </w:r>
          </w:p>
        </w:tc>
      </w:tr>
    </w:tbl>
    <w:p w14:paraId="1E41C78B" w14:textId="77777777" w:rsidR="00FB5722" w:rsidRPr="00537DA3" w:rsidRDefault="00FB5722" w:rsidP="00FB5722">
      <w:pPr>
        <w:rPr>
          <w:rFonts w:ascii="Bookman Old Style" w:hAnsi="Bookman Old Style"/>
          <w:b/>
          <w:i/>
          <w:sz w:val="20"/>
          <w:szCs w:val="20"/>
        </w:rPr>
      </w:pPr>
      <w:r w:rsidRPr="00537DA3">
        <w:rPr>
          <w:rFonts w:ascii="Bookman Old Style" w:hAnsi="Bookman Old Style"/>
          <w:b/>
          <w:i/>
          <w:sz w:val="20"/>
          <w:szCs w:val="20"/>
        </w:rPr>
        <w:t>Source: ECOWAS Commission</w:t>
      </w:r>
    </w:p>
    <w:p w14:paraId="5C90F19E" w14:textId="2728CEFD" w:rsidR="00FB5722" w:rsidRDefault="00FB5722" w:rsidP="00FB5722">
      <w:pPr>
        <w:spacing w:after="0" w:line="240" w:lineRule="auto"/>
        <w:jc w:val="both"/>
        <w:rPr>
          <w:rFonts w:ascii="Bookman Old Style" w:hAnsi="Bookman Old Style"/>
          <w:sz w:val="24"/>
          <w:szCs w:val="24"/>
        </w:rPr>
      </w:pPr>
      <w:r w:rsidRPr="00BD1A8E">
        <w:rPr>
          <w:rFonts w:ascii="Bookman Old Style" w:hAnsi="Bookman Old Style"/>
          <w:sz w:val="24"/>
          <w:szCs w:val="24"/>
        </w:rPr>
        <w:lastRenderedPageBreak/>
        <w:t xml:space="preserve">The total value of exports of 2015 reduced by more the half of the value of the 2014. More so, the values of Nigeria’s imports increased between the period of 2003 and 2014 with exception of 2004, 2008 and 2012.   It is worthy to know that the values of Nigeria’s exports were more than that of imports between the periods </w:t>
      </w:r>
      <w:r w:rsidR="008C2E72">
        <w:rPr>
          <w:rFonts w:ascii="Bookman Old Style" w:hAnsi="Bookman Old Style"/>
          <w:sz w:val="24"/>
          <w:szCs w:val="24"/>
        </w:rPr>
        <w:t>of 2003 to 2015.</w:t>
      </w:r>
    </w:p>
    <w:p w14:paraId="639993FA" w14:textId="6A98564B" w:rsidR="008C2E72" w:rsidRDefault="008C2E72" w:rsidP="00FB5722">
      <w:pPr>
        <w:spacing w:after="0" w:line="240" w:lineRule="auto"/>
        <w:jc w:val="both"/>
        <w:rPr>
          <w:rFonts w:ascii="Bookman Old Style" w:hAnsi="Bookman Old Style"/>
          <w:sz w:val="24"/>
          <w:szCs w:val="24"/>
        </w:rPr>
      </w:pPr>
    </w:p>
    <w:p w14:paraId="71336C03" w14:textId="4FA648AD" w:rsidR="008C2E72" w:rsidRPr="008C2E72" w:rsidRDefault="008C2E72" w:rsidP="00FB5722">
      <w:pPr>
        <w:spacing w:after="0" w:line="240" w:lineRule="auto"/>
        <w:jc w:val="both"/>
        <w:rPr>
          <w:rFonts w:ascii="Bookman Old Style" w:hAnsi="Bookman Old Style"/>
          <w:b/>
          <w:sz w:val="24"/>
          <w:szCs w:val="24"/>
        </w:rPr>
      </w:pPr>
      <w:r w:rsidRPr="008C2E72">
        <w:rPr>
          <w:rFonts w:ascii="Bookman Old Style" w:hAnsi="Bookman Old Style"/>
          <w:b/>
          <w:sz w:val="24"/>
          <w:szCs w:val="24"/>
        </w:rPr>
        <w:t>Figure 1</w:t>
      </w:r>
      <w:r w:rsidR="00F56C68">
        <w:rPr>
          <w:rFonts w:ascii="Bookman Old Style" w:hAnsi="Bookman Old Style"/>
          <w:b/>
          <w:sz w:val="24"/>
          <w:szCs w:val="24"/>
        </w:rPr>
        <w:t xml:space="preserve">2:  Trend of </w:t>
      </w:r>
      <w:r w:rsidRPr="008C2E72">
        <w:rPr>
          <w:rFonts w:ascii="Bookman Old Style" w:hAnsi="Bookman Old Style"/>
          <w:b/>
          <w:sz w:val="24"/>
          <w:szCs w:val="24"/>
        </w:rPr>
        <w:t>Imports and Exports in Nigeria 2003 - 2015</w:t>
      </w:r>
    </w:p>
    <w:p w14:paraId="3F92173C" w14:textId="77777777" w:rsidR="00FB5722" w:rsidRPr="00BD1A8E" w:rsidRDefault="00FB5722" w:rsidP="00FB5722">
      <w:pPr>
        <w:spacing w:after="0" w:line="240" w:lineRule="auto"/>
        <w:jc w:val="both"/>
        <w:rPr>
          <w:rFonts w:ascii="Bookman Old Style" w:hAnsi="Bookman Old Style"/>
          <w:lang w:bidi="bn-IN"/>
        </w:rPr>
      </w:pPr>
      <w:r w:rsidRPr="00BD1A8E">
        <w:rPr>
          <w:rFonts w:ascii="Bookman Old Style" w:hAnsi="Bookman Old Style"/>
          <w:noProof/>
          <w:lang w:eastAsia="en-GB"/>
        </w:rPr>
        <w:drawing>
          <wp:inline distT="0" distB="0" distL="0" distR="0" wp14:anchorId="6778F423" wp14:editId="27059BBD">
            <wp:extent cx="5667375" cy="3143250"/>
            <wp:effectExtent l="0" t="0" r="9525"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9234A8" w14:textId="77777777" w:rsidR="00FB5722" w:rsidRPr="00BD1A8E" w:rsidRDefault="00FB5722" w:rsidP="00FB5722">
      <w:pPr>
        <w:spacing w:after="0" w:line="240" w:lineRule="auto"/>
        <w:jc w:val="both"/>
        <w:rPr>
          <w:rFonts w:ascii="Bookman Old Style" w:hAnsi="Bookman Old Style"/>
          <w:sz w:val="24"/>
          <w:szCs w:val="24"/>
          <w:lang w:bidi="bn-IN"/>
        </w:rPr>
      </w:pPr>
    </w:p>
    <w:p w14:paraId="57D5AA24" w14:textId="77777777" w:rsidR="00097064" w:rsidRDefault="00097064" w:rsidP="00FB5722">
      <w:pPr>
        <w:spacing w:after="0" w:line="240" w:lineRule="auto"/>
        <w:jc w:val="both"/>
        <w:rPr>
          <w:rFonts w:ascii="Bookman Old Style" w:hAnsi="Bookman Old Style"/>
          <w:sz w:val="24"/>
          <w:szCs w:val="24"/>
          <w:lang w:bidi="bn-IN"/>
        </w:rPr>
      </w:pPr>
    </w:p>
    <w:p w14:paraId="1DFB0566" w14:textId="5B5B4793" w:rsidR="00FB5722" w:rsidRPr="00BD1A8E" w:rsidRDefault="00FB5722" w:rsidP="00FB5722">
      <w:pPr>
        <w:spacing w:after="0" w:line="240" w:lineRule="auto"/>
        <w:jc w:val="both"/>
        <w:rPr>
          <w:rFonts w:ascii="Bookman Old Style" w:hAnsi="Bookman Old Style"/>
          <w:sz w:val="24"/>
          <w:szCs w:val="24"/>
          <w:lang w:bidi="bn-IN"/>
        </w:rPr>
      </w:pPr>
      <w:r w:rsidRPr="00BD1A8E">
        <w:rPr>
          <w:rFonts w:ascii="Bookman Old Style" w:hAnsi="Bookman Old Style"/>
          <w:sz w:val="24"/>
          <w:szCs w:val="24"/>
          <w:lang w:bidi="bn-IN"/>
        </w:rPr>
        <w:t xml:space="preserve">The structure of trade shows that the country's export was dominated by oil products.  As shown in Table 2.2, Oil export rose from </w:t>
      </w:r>
      <w:r w:rsidRPr="00BD1A8E">
        <w:rPr>
          <w:rFonts w:ascii="Bookman Old Style" w:hAnsi="Bookman Old Style"/>
          <w:dstrike/>
          <w:sz w:val="24"/>
          <w:szCs w:val="24"/>
          <w:lang w:bidi="bn-IN"/>
        </w:rPr>
        <w:t>N</w:t>
      </w:r>
      <w:r w:rsidRPr="00BD1A8E">
        <w:rPr>
          <w:rFonts w:ascii="Bookman Old Style" w:hAnsi="Bookman Old Style"/>
          <w:sz w:val="24"/>
          <w:szCs w:val="24"/>
          <w:lang w:bidi="bn-IN"/>
        </w:rPr>
        <w:t xml:space="preserve">1, 920.9 billion in 2000 to </w:t>
      </w:r>
      <w:r w:rsidRPr="00BD1A8E">
        <w:rPr>
          <w:rFonts w:ascii="Bookman Old Style" w:hAnsi="Bookman Old Style"/>
          <w:dstrike/>
          <w:sz w:val="24"/>
          <w:szCs w:val="24"/>
          <w:lang w:bidi="bn-IN"/>
        </w:rPr>
        <w:t>N</w:t>
      </w:r>
      <w:r w:rsidRPr="00BD1A8E">
        <w:rPr>
          <w:rFonts w:ascii="Bookman Old Style" w:hAnsi="Bookman Old Style"/>
          <w:sz w:val="24"/>
          <w:szCs w:val="24"/>
          <w:lang w:bidi="bn-IN"/>
        </w:rPr>
        <w:t xml:space="preserve"> 7,140.6 billion in 2005 and the percentage share was from 98.7 percent to 98.5 percent within the same time interval. This implies that although Oil exports values were increasing, its share fell slightly from 2000 to 2005.  In the case of non-oil export, the country realized </w:t>
      </w:r>
      <w:r w:rsidRPr="00BD1A8E">
        <w:rPr>
          <w:rFonts w:ascii="Bookman Old Style" w:hAnsi="Bookman Old Style"/>
          <w:dstrike/>
          <w:sz w:val="24"/>
          <w:szCs w:val="24"/>
          <w:lang w:bidi="bn-IN"/>
        </w:rPr>
        <w:t>N</w:t>
      </w:r>
      <w:r w:rsidRPr="00BD1A8E">
        <w:rPr>
          <w:rFonts w:ascii="Bookman Old Style" w:hAnsi="Bookman Old Style"/>
          <w:sz w:val="24"/>
          <w:szCs w:val="24"/>
          <w:lang w:bidi="bn-IN"/>
        </w:rPr>
        <w:t xml:space="preserve"> 24.8 billion in 2000 while it rose to </w:t>
      </w:r>
      <w:r w:rsidRPr="00BD1A8E">
        <w:rPr>
          <w:rFonts w:ascii="Bookman Old Style" w:hAnsi="Bookman Old Style"/>
          <w:dstrike/>
          <w:sz w:val="24"/>
          <w:szCs w:val="24"/>
          <w:lang w:bidi="bn-IN"/>
        </w:rPr>
        <w:t>N</w:t>
      </w:r>
      <w:r w:rsidRPr="00BD1A8E">
        <w:rPr>
          <w:rFonts w:ascii="Bookman Old Style" w:hAnsi="Bookman Old Style"/>
          <w:sz w:val="24"/>
          <w:szCs w:val="24"/>
          <w:lang w:bidi="bn-IN"/>
        </w:rPr>
        <w:t xml:space="preserve">106.0 billion in 2005, with the percentage share rising from 1.3 to 1.5 percent in the respective years.  In 2010, Oil export was </w:t>
      </w:r>
      <w:r w:rsidRPr="00BD1A8E">
        <w:rPr>
          <w:rFonts w:ascii="Bookman Old Style" w:hAnsi="Bookman Old Style"/>
          <w:dstrike/>
          <w:sz w:val="24"/>
          <w:szCs w:val="24"/>
          <w:lang w:bidi="bn-IN"/>
        </w:rPr>
        <w:t>N</w:t>
      </w:r>
      <w:r w:rsidRPr="00BD1A8E">
        <w:rPr>
          <w:rFonts w:ascii="Bookman Old Style" w:hAnsi="Bookman Old Style"/>
          <w:sz w:val="24"/>
          <w:szCs w:val="24"/>
          <w:lang w:bidi="bn-IN"/>
        </w:rPr>
        <w:t xml:space="preserve">11.3 trillion and accounted for 96.5 percent of total exports, while non-Oil export was </w:t>
      </w:r>
      <w:r w:rsidRPr="00BD1A8E">
        <w:rPr>
          <w:rFonts w:ascii="Bookman Old Style" w:hAnsi="Bookman Old Style"/>
          <w:dstrike/>
          <w:sz w:val="24"/>
          <w:szCs w:val="24"/>
          <w:lang w:bidi="bn-IN"/>
        </w:rPr>
        <w:t>N</w:t>
      </w:r>
      <w:r w:rsidRPr="00BD1A8E">
        <w:rPr>
          <w:rFonts w:ascii="Bookman Old Style" w:hAnsi="Bookman Old Style"/>
          <w:sz w:val="24"/>
          <w:szCs w:val="24"/>
          <w:lang w:bidi="bn-IN"/>
        </w:rPr>
        <w:t xml:space="preserve"> 406.2 billion, constituting 3.5 percent of total exports. There was a rise in the share of non-oil export in 2013 compared to 2010-2012, while Oil export recorded slight change during the period.  Overall, both Oil and non-Oil exports have been rising since 2000 but Oil exports remarkably dominated, but the share of nonoil exports have started improving from 1.46 % in 2005 to 4.78 % in 2013.  This implies that government policy toward export diversification appears to have positively influenced exports of non-oil products.</w:t>
      </w:r>
    </w:p>
    <w:p w14:paraId="420AD0E7" w14:textId="77777777" w:rsidR="00FB5722" w:rsidRPr="00BD1A8E" w:rsidRDefault="00FB5722" w:rsidP="00FB5722">
      <w:pPr>
        <w:tabs>
          <w:tab w:val="left" w:pos="1125"/>
        </w:tabs>
        <w:spacing w:after="0" w:line="240" w:lineRule="auto"/>
        <w:jc w:val="both"/>
        <w:rPr>
          <w:rFonts w:ascii="Bookman Old Style" w:hAnsi="Bookman Old Style"/>
          <w:sz w:val="24"/>
          <w:szCs w:val="24"/>
          <w:lang w:bidi="bn-IN"/>
        </w:rPr>
      </w:pPr>
      <w:r w:rsidRPr="00BD1A8E">
        <w:rPr>
          <w:rFonts w:ascii="Bookman Old Style" w:hAnsi="Bookman Old Style"/>
          <w:sz w:val="24"/>
          <w:szCs w:val="24"/>
          <w:lang w:bidi="bn-IN"/>
        </w:rPr>
        <w:tab/>
      </w:r>
    </w:p>
    <w:p w14:paraId="3550FA9E" w14:textId="77777777" w:rsidR="00097064" w:rsidRDefault="00097064" w:rsidP="00FB5722">
      <w:pPr>
        <w:spacing w:after="0" w:line="240" w:lineRule="auto"/>
        <w:ind w:firstLine="720"/>
        <w:jc w:val="both"/>
        <w:rPr>
          <w:rFonts w:ascii="Bookman Old Style" w:hAnsi="Bookman Old Style"/>
          <w:b/>
          <w:lang w:bidi="bn-IN"/>
        </w:rPr>
      </w:pPr>
    </w:p>
    <w:p w14:paraId="0B3B50FD" w14:textId="77777777" w:rsidR="00097064" w:rsidRDefault="00097064" w:rsidP="00FB5722">
      <w:pPr>
        <w:spacing w:after="0" w:line="240" w:lineRule="auto"/>
        <w:ind w:firstLine="720"/>
        <w:jc w:val="both"/>
        <w:rPr>
          <w:rFonts w:ascii="Bookman Old Style" w:hAnsi="Bookman Old Style"/>
          <w:b/>
          <w:lang w:bidi="bn-IN"/>
        </w:rPr>
      </w:pPr>
    </w:p>
    <w:p w14:paraId="499715D9" w14:textId="77777777" w:rsidR="00097064" w:rsidRDefault="00097064" w:rsidP="00FB5722">
      <w:pPr>
        <w:spacing w:after="0" w:line="240" w:lineRule="auto"/>
        <w:ind w:firstLine="720"/>
        <w:jc w:val="both"/>
        <w:rPr>
          <w:rFonts w:ascii="Bookman Old Style" w:hAnsi="Bookman Old Style"/>
          <w:b/>
          <w:lang w:bidi="bn-IN"/>
        </w:rPr>
      </w:pPr>
    </w:p>
    <w:p w14:paraId="31775506" w14:textId="77777777" w:rsidR="00097064" w:rsidRDefault="00097064" w:rsidP="00FB5722">
      <w:pPr>
        <w:spacing w:after="0" w:line="240" w:lineRule="auto"/>
        <w:ind w:firstLine="720"/>
        <w:jc w:val="both"/>
        <w:rPr>
          <w:rFonts w:ascii="Bookman Old Style" w:hAnsi="Bookman Old Style"/>
          <w:b/>
          <w:lang w:bidi="bn-IN"/>
        </w:rPr>
      </w:pPr>
    </w:p>
    <w:p w14:paraId="51F6F168" w14:textId="77777777" w:rsidR="00097064" w:rsidRDefault="00097064" w:rsidP="00FB5722">
      <w:pPr>
        <w:spacing w:after="0" w:line="240" w:lineRule="auto"/>
        <w:ind w:firstLine="720"/>
        <w:jc w:val="both"/>
        <w:rPr>
          <w:rFonts w:ascii="Bookman Old Style" w:hAnsi="Bookman Old Style"/>
          <w:b/>
          <w:lang w:bidi="bn-IN"/>
        </w:rPr>
      </w:pPr>
    </w:p>
    <w:p w14:paraId="26B7B1F4" w14:textId="77777777" w:rsidR="00097064" w:rsidRDefault="00097064" w:rsidP="00FB5722">
      <w:pPr>
        <w:spacing w:after="0" w:line="240" w:lineRule="auto"/>
        <w:ind w:firstLine="720"/>
        <w:jc w:val="both"/>
        <w:rPr>
          <w:rFonts w:ascii="Bookman Old Style" w:hAnsi="Bookman Old Style"/>
          <w:b/>
          <w:lang w:bidi="bn-IN"/>
        </w:rPr>
      </w:pPr>
    </w:p>
    <w:p w14:paraId="615D21E5" w14:textId="77777777" w:rsidR="00097064" w:rsidRDefault="00097064" w:rsidP="00FB5722">
      <w:pPr>
        <w:spacing w:after="0" w:line="240" w:lineRule="auto"/>
        <w:ind w:firstLine="720"/>
        <w:jc w:val="both"/>
        <w:rPr>
          <w:rFonts w:ascii="Bookman Old Style" w:hAnsi="Bookman Old Style"/>
          <w:b/>
          <w:lang w:bidi="bn-IN"/>
        </w:rPr>
      </w:pPr>
    </w:p>
    <w:p w14:paraId="33FD0642" w14:textId="404285CB" w:rsidR="00FB5722" w:rsidRPr="00BD1A8E" w:rsidRDefault="008C2E72" w:rsidP="00097064">
      <w:pPr>
        <w:spacing w:after="0" w:line="240" w:lineRule="auto"/>
        <w:rPr>
          <w:rFonts w:ascii="Bookman Old Style" w:hAnsi="Bookman Old Style"/>
          <w:b/>
          <w:lang w:bidi="bn-IN"/>
        </w:rPr>
      </w:pPr>
      <w:r>
        <w:rPr>
          <w:rFonts w:ascii="Bookman Old Style" w:hAnsi="Bookman Old Style"/>
          <w:b/>
          <w:lang w:bidi="bn-IN"/>
        </w:rPr>
        <w:t>Table 5</w:t>
      </w:r>
      <w:r w:rsidR="00FB5722" w:rsidRPr="00BD1A8E">
        <w:rPr>
          <w:rFonts w:ascii="Bookman Old Style" w:hAnsi="Bookman Old Style"/>
          <w:b/>
          <w:lang w:bidi="bn-IN"/>
        </w:rPr>
        <w:t>.2: Structure of Nigeria’s Trade</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FB5722" w:rsidRPr="00BD1A8E" w14:paraId="6C779861" w14:textId="77777777" w:rsidTr="00097064">
        <w:tc>
          <w:tcPr>
            <w:tcW w:w="9493" w:type="dxa"/>
            <w:shd w:val="clear" w:color="auto" w:fill="244061"/>
          </w:tcPr>
          <w:p w14:paraId="0CE5F1BD" w14:textId="77777777" w:rsidR="00FB5722" w:rsidRPr="00BD1A8E" w:rsidRDefault="00FB5722" w:rsidP="0044041A">
            <w:pPr>
              <w:spacing w:after="0" w:line="240" w:lineRule="auto"/>
              <w:jc w:val="center"/>
              <w:rPr>
                <w:rFonts w:ascii="Bookman Old Style" w:hAnsi="Bookman Old Style"/>
                <w:b/>
                <w:lang w:bidi="bn-IN"/>
              </w:rPr>
            </w:pPr>
            <w:r w:rsidRPr="00BD1A8E">
              <w:rPr>
                <w:rFonts w:ascii="Bookman Old Style" w:hAnsi="Bookman Old Style"/>
                <w:b/>
                <w:lang w:bidi="bn-IN"/>
              </w:rPr>
              <w:t>Structure of Nigeria’s Trade</w:t>
            </w:r>
          </w:p>
        </w:tc>
      </w:tr>
    </w:tbl>
    <w:p w14:paraId="431DAE56" w14:textId="77777777" w:rsidR="00FB5722" w:rsidRPr="00BD1A8E" w:rsidRDefault="00FB5722" w:rsidP="00FB5722">
      <w:pPr>
        <w:spacing w:after="0"/>
        <w:rPr>
          <w:rFonts w:ascii="Bookman Old Style" w:hAnsi="Bookman Old Style"/>
          <w:vanish/>
        </w:rPr>
      </w:pPr>
    </w:p>
    <w:tbl>
      <w:tblPr>
        <w:tblW w:w="5268" w:type="pct"/>
        <w:tblInd w:w="-5" w:type="dxa"/>
        <w:tblLayout w:type="fixed"/>
        <w:tblLook w:val="04A0" w:firstRow="1" w:lastRow="0" w:firstColumn="1" w:lastColumn="0" w:noHBand="0" w:noVBand="1"/>
      </w:tblPr>
      <w:tblGrid>
        <w:gridCol w:w="871"/>
        <w:gridCol w:w="1018"/>
        <w:gridCol w:w="728"/>
        <w:gridCol w:w="870"/>
        <w:gridCol w:w="876"/>
        <w:gridCol w:w="730"/>
        <w:gridCol w:w="867"/>
        <w:gridCol w:w="1022"/>
        <w:gridCol w:w="1018"/>
        <w:gridCol w:w="870"/>
        <w:gridCol w:w="867"/>
      </w:tblGrid>
      <w:tr w:rsidR="00FB5722" w:rsidRPr="00BD1A8E" w14:paraId="48DD2BDC" w14:textId="77777777" w:rsidTr="00097064">
        <w:trPr>
          <w:trHeight w:val="315"/>
        </w:trPr>
        <w:tc>
          <w:tcPr>
            <w:tcW w:w="4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5DEB3"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Year</w:t>
            </w:r>
          </w:p>
        </w:tc>
        <w:tc>
          <w:tcPr>
            <w:tcW w:w="2168" w:type="pct"/>
            <w:gridSpan w:val="5"/>
            <w:tcBorders>
              <w:top w:val="single" w:sz="4" w:space="0" w:color="auto"/>
              <w:left w:val="nil"/>
              <w:bottom w:val="single" w:sz="4" w:space="0" w:color="auto"/>
              <w:right w:val="single" w:sz="4" w:space="0" w:color="auto"/>
            </w:tcBorders>
            <w:shd w:val="clear" w:color="auto" w:fill="95B3D7"/>
            <w:noWrap/>
            <w:vAlign w:val="center"/>
            <w:hideMark/>
          </w:tcPr>
          <w:p w14:paraId="302D617B"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Exports (fob) in billion naira</w:t>
            </w:r>
          </w:p>
        </w:tc>
        <w:tc>
          <w:tcPr>
            <w:tcW w:w="2386" w:type="pct"/>
            <w:gridSpan w:val="5"/>
            <w:tcBorders>
              <w:top w:val="single" w:sz="4" w:space="0" w:color="auto"/>
              <w:left w:val="nil"/>
              <w:bottom w:val="single" w:sz="4" w:space="0" w:color="auto"/>
              <w:right w:val="single" w:sz="4" w:space="0" w:color="auto"/>
            </w:tcBorders>
            <w:shd w:val="clear" w:color="auto" w:fill="95B3D7"/>
            <w:noWrap/>
            <w:vAlign w:val="center"/>
            <w:hideMark/>
          </w:tcPr>
          <w:p w14:paraId="5801671A"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Imports (cif) in billion naira</w:t>
            </w:r>
          </w:p>
        </w:tc>
      </w:tr>
      <w:tr w:rsidR="00097064" w:rsidRPr="00BD1A8E" w14:paraId="6738219F" w14:textId="77777777" w:rsidTr="00097064">
        <w:trPr>
          <w:trHeight w:val="300"/>
        </w:trPr>
        <w:tc>
          <w:tcPr>
            <w:tcW w:w="447" w:type="pct"/>
            <w:vMerge/>
            <w:tcBorders>
              <w:top w:val="single" w:sz="4" w:space="0" w:color="auto"/>
              <w:left w:val="single" w:sz="4" w:space="0" w:color="auto"/>
              <w:bottom w:val="single" w:sz="4" w:space="0" w:color="auto"/>
              <w:right w:val="single" w:sz="4" w:space="0" w:color="auto"/>
            </w:tcBorders>
            <w:vAlign w:val="center"/>
            <w:hideMark/>
          </w:tcPr>
          <w:p w14:paraId="67E86179"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p>
        </w:tc>
        <w:tc>
          <w:tcPr>
            <w:tcW w:w="522" w:type="pct"/>
            <w:tcBorders>
              <w:top w:val="nil"/>
              <w:left w:val="nil"/>
              <w:bottom w:val="single" w:sz="4" w:space="0" w:color="auto"/>
              <w:right w:val="single" w:sz="4" w:space="0" w:color="auto"/>
            </w:tcBorders>
            <w:shd w:val="clear" w:color="auto" w:fill="auto"/>
            <w:noWrap/>
            <w:vAlign w:val="bottom"/>
            <w:hideMark/>
          </w:tcPr>
          <w:p w14:paraId="58F054E5"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Oil</w:t>
            </w:r>
          </w:p>
        </w:tc>
        <w:tc>
          <w:tcPr>
            <w:tcW w:w="374" w:type="pct"/>
            <w:tcBorders>
              <w:top w:val="nil"/>
              <w:left w:val="nil"/>
              <w:bottom w:val="single" w:sz="4" w:space="0" w:color="auto"/>
              <w:right w:val="single" w:sz="4" w:space="0" w:color="auto"/>
            </w:tcBorders>
            <w:shd w:val="clear" w:color="auto" w:fill="auto"/>
            <w:noWrap/>
            <w:vAlign w:val="bottom"/>
            <w:hideMark/>
          </w:tcPr>
          <w:p w14:paraId="16F5AB49"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Non-oil</w:t>
            </w:r>
          </w:p>
        </w:tc>
        <w:tc>
          <w:tcPr>
            <w:tcW w:w="447" w:type="pct"/>
            <w:tcBorders>
              <w:top w:val="nil"/>
              <w:left w:val="nil"/>
              <w:bottom w:val="single" w:sz="4" w:space="0" w:color="auto"/>
              <w:right w:val="single" w:sz="4" w:space="0" w:color="auto"/>
            </w:tcBorders>
            <w:shd w:val="clear" w:color="auto" w:fill="auto"/>
            <w:noWrap/>
            <w:vAlign w:val="bottom"/>
            <w:hideMark/>
          </w:tcPr>
          <w:p w14:paraId="69B8DE0B"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Total</w:t>
            </w:r>
          </w:p>
        </w:tc>
        <w:tc>
          <w:tcPr>
            <w:tcW w:w="450" w:type="pct"/>
            <w:tcBorders>
              <w:top w:val="nil"/>
              <w:left w:val="nil"/>
              <w:bottom w:val="single" w:sz="4" w:space="0" w:color="auto"/>
              <w:right w:val="single" w:sz="4" w:space="0" w:color="auto"/>
            </w:tcBorders>
            <w:shd w:val="clear" w:color="auto" w:fill="auto"/>
            <w:noWrap/>
            <w:vAlign w:val="bottom"/>
            <w:hideMark/>
          </w:tcPr>
          <w:p w14:paraId="742B339E"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Share of oil (%)</w:t>
            </w:r>
          </w:p>
        </w:tc>
        <w:tc>
          <w:tcPr>
            <w:tcW w:w="374" w:type="pct"/>
            <w:tcBorders>
              <w:top w:val="nil"/>
              <w:left w:val="nil"/>
              <w:bottom w:val="single" w:sz="4" w:space="0" w:color="auto"/>
              <w:right w:val="single" w:sz="4" w:space="0" w:color="auto"/>
            </w:tcBorders>
            <w:shd w:val="clear" w:color="auto" w:fill="auto"/>
            <w:noWrap/>
            <w:vAlign w:val="bottom"/>
            <w:hideMark/>
          </w:tcPr>
          <w:p w14:paraId="38683C9E"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Share of non-oil (%)</w:t>
            </w:r>
          </w:p>
        </w:tc>
        <w:tc>
          <w:tcPr>
            <w:tcW w:w="445" w:type="pct"/>
            <w:tcBorders>
              <w:top w:val="nil"/>
              <w:left w:val="nil"/>
              <w:bottom w:val="single" w:sz="4" w:space="0" w:color="auto"/>
              <w:right w:val="single" w:sz="4" w:space="0" w:color="auto"/>
            </w:tcBorders>
            <w:shd w:val="clear" w:color="auto" w:fill="auto"/>
            <w:noWrap/>
            <w:vAlign w:val="bottom"/>
            <w:hideMark/>
          </w:tcPr>
          <w:p w14:paraId="11EA5BEF"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Oil</w:t>
            </w:r>
          </w:p>
        </w:tc>
        <w:tc>
          <w:tcPr>
            <w:tcW w:w="525" w:type="pct"/>
            <w:tcBorders>
              <w:top w:val="nil"/>
              <w:left w:val="nil"/>
              <w:bottom w:val="single" w:sz="4" w:space="0" w:color="auto"/>
              <w:right w:val="single" w:sz="4" w:space="0" w:color="auto"/>
            </w:tcBorders>
            <w:shd w:val="clear" w:color="auto" w:fill="auto"/>
            <w:noWrap/>
            <w:vAlign w:val="bottom"/>
            <w:hideMark/>
          </w:tcPr>
          <w:p w14:paraId="66D58DD4"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Non-oil</w:t>
            </w:r>
          </w:p>
        </w:tc>
        <w:tc>
          <w:tcPr>
            <w:tcW w:w="523" w:type="pct"/>
            <w:tcBorders>
              <w:top w:val="nil"/>
              <w:left w:val="nil"/>
              <w:bottom w:val="single" w:sz="4" w:space="0" w:color="auto"/>
              <w:right w:val="single" w:sz="4" w:space="0" w:color="auto"/>
            </w:tcBorders>
            <w:shd w:val="clear" w:color="auto" w:fill="auto"/>
            <w:noWrap/>
            <w:vAlign w:val="bottom"/>
            <w:hideMark/>
          </w:tcPr>
          <w:p w14:paraId="29AEEC16"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Total</w:t>
            </w:r>
          </w:p>
        </w:tc>
        <w:tc>
          <w:tcPr>
            <w:tcW w:w="447" w:type="pct"/>
            <w:tcBorders>
              <w:top w:val="nil"/>
              <w:left w:val="nil"/>
              <w:bottom w:val="single" w:sz="4" w:space="0" w:color="auto"/>
              <w:right w:val="single" w:sz="4" w:space="0" w:color="auto"/>
            </w:tcBorders>
            <w:shd w:val="clear" w:color="auto" w:fill="auto"/>
            <w:noWrap/>
            <w:vAlign w:val="bottom"/>
            <w:hideMark/>
          </w:tcPr>
          <w:p w14:paraId="36A3DB50"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Share of oil (%)</w:t>
            </w:r>
          </w:p>
        </w:tc>
        <w:tc>
          <w:tcPr>
            <w:tcW w:w="446" w:type="pct"/>
            <w:tcBorders>
              <w:top w:val="nil"/>
              <w:left w:val="nil"/>
              <w:bottom w:val="single" w:sz="4" w:space="0" w:color="auto"/>
              <w:right w:val="single" w:sz="4" w:space="0" w:color="auto"/>
            </w:tcBorders>
            <w:shd w:val="clear" w:color="auto" w:fill="auto"/>
            <w:noWrap/>
            <w:vAlign w:val="bottom"/>
            <w:hideMark/>
          </w:tcPr>
          <w:p w14:paraId="4721654D"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Share of non-oil (%)</w:t>
            </w:r>
          </w:p>
        </w:tc>
      </w:tr>
      <w:tr w:rsidR="00097064" w:rsidRPr="00BD1A8E" w14:paraId="57C645B5" w14:textId="77777777" w:rsidTr="00097064">
        <w:trPr>
          <w:trHeight w:val="315"/>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14:paraId="6F6ECB1E"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2000</w:t>
            </w:r>
          </w:p>
        </w:tc>
        <w:tc>
          <w:tcPr>
            <w:tcW w:w="522" w:type="pct"/>
            <w:tcBorders>
              <w:top w:val="nil"/>
              <w:left w:val="nil"/>
              <w:bottom w:val="single" w:sz="4" w:space="0" w:color="auto"/>
              <w:right w:val="single" w:sz="4" w:space="0" w:color="auto"/>
            </w:tcBorders>
            <w:shd w:val="clear" w:color="auto" w:fill="auto"/>
            <w:noWrap/>
            <w:vAlign w:val="bottom"/>
            <w:hideMark/>
          </w:tcPr>
          <w:p w14:paraId="08732F7E"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1,920.9</w:t>
            </w:r>
          </w:p>
        </w:tc>
        <w:tc>
          <w:tcPr>
            <w:tcW w:w="374" w:type="pct"/>
            <w:tcBorders>
              <w:top w:val="nil"/>
              <w:left w:val="nil"/>
              <w:bottom w:val="single" w:sz="4" w:space="0" w:color="auto"/>
              <w:right w:val="single" w:sz="4" w:space="0" w:color="auto"/>
            </w:tcBorders>
            <w:shd w:val="clear" w:color="auto" w:fill="auto"/>
            <w:noWrap/>
            <w:vAlign w:val="bottom"/>
            <w:hideMark/>
          </w:tcPr>
          <w:p w14:paraId="45F1B656"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24.8</w:t>
            </w:r>
          </w:p>
        </w:tc>
        <w:tc>
          <w:tcPr>
            <w:tcW w:w="447" w:type="pct"/>
            <w:tcBorders>
              <w:top w:val="nil"/>
              <w:left w:val="nil"/>
              <w:bottom w:val="single" w:sz="4" w:space="0" w:color="auto"/>
              <w:right w:val="single" w:sz="4" w:space="0" w:color="auto"/>
            </w:tcBorders>
            <w:shd w:val="clear" w:color="auto" w:fill="auto"/>
            <w:noWrap/>
            <w:vAlign w:val="bottom"/>
            <w:hideMark/>
          </w:tcPr>
          <w:p w14:paraId="64ECD89B"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1,945.7</w:t>
            </w:r>
          </w:p>
        </w:tc>
        <w:tc>
          <w:tcPr>
            <w:tcW w:w="450" w:type="pct"/>
            <w:tcBorders>
              <w:top w:val="nil"/>
              <w:left w:val="nil"/>
              <w:bottom w:val="single" w:sz="4" w:space="0" w:color="auto"/>
              <w:right w:val="single" w:sz="4" w:space="0" w:color="auto"/>
            </w:tcBorders>
            <w:shd w:val="clear" w:color="auto" w:fill="auto"/>
            <w:noWrap/>
            <w:vAlign w:val="bottom"/>
            <w:hideMark/>
          </w:tcPr>
          <w:p w14:paraId="6D3EAA91"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98.72</w:t>
            </w:r>
          </w:p>
        </w:tc>
        <w:tc>
          <w:tcPr>
            <w:tcW w:w="374" w:type="pct"/>
            <w:tcBorders>
              <w:top w:val="nil"/>
              <w:left w:val="nil"/>
              <w:bottom w:val="single" w:sz="4" w:space="0" w:color="auto"/>
              <w:right w:val="single" w:sz="4" w:space="0" w:color="auto"/>
            </w:tcBorders>
            <w:shd w:val="clear" w:color="auto" w:fill="auto"/>
            <w:noWrap/>
            <w:vAlign w:val="bottom"/>
            <w:hideMark/>
          </w:tcPr>
          <w:p w14:paraId="18226AF9"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1.28</w:t>
            </w:r>
          </w:p>
        </w:tc>
        <w:tc>
          <w:tcPr>
            <w:tcW w:w="445" w:type="pct"/>
            <w:tcBorders>
              <w:top w:val="nil"/>
              <w:left w:val="nil"/>
              <w:bottom w:val="single" w:sz="4" w:space="0" w:color="auto"/>
              <w:right w:val="single" w:sz="4" w:space="0" w:color="auto"/>
            </w:tcBorders>
            <w:shd w:val="clear" w:color="auto" w:fill="auto"/>
            <w:noWrap/>
            <w:vAlign w:val="bottom"/>
            <w:hideMark/>
          </w:tcPr>
          <w:p w14:paraId="7B6E9451"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220.8</w:t>
            </w:r>
          </w:p>
        </w:tc>
        <w:tc>
          <w:tcPr>
            <w:tcW w:w="525" w:type="pct"/>
            <w:tcBorders>
              <w:top w:val="nil"/>
              <w:left w:val="nil"/>
              <w:bottom w:val="single" w:sz="4" w:space="0" w:color="auto"/>
              <w:right w:val="single" w:sz="4" w:space="0" w:color="auto"/>
            </w:tcBorders>
            <w:shd w:val="clear" w:color="auto" w:fill="auto"/>
            <w:noWrap/>
            <w:vAlign w:val="bottom"/>
            <w:hideMark/>
          </w:tcPr>
          <w:p w14:paraId="5C3CDAAA"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764.2</w:t>
            </w:r>
          </w:p>
        </w:tc>
        <w:tc>
          <w:tcPr>
            <w:tcW w:w="523" w:type="pct"/>
            <w:tcBorders>
              <w:top w:val="nil"/>
              <w:left w:val="nil"/>
              <w:bottom w:val="single" w:sz="4" w:space="0" w:color="auto"/>
              <w:right w:val="single" w:sz="4" w:space="0" w:color="auto"/>
            </w:tcBorders>
            <w:shd w:val="clear" w:color="auto" w:fill="auto"/>
            <w:noWrap/>
            <w:vAlign w:val="bottom"/>
            <w:hideMark/>
          </w:tcPr>
          <w:p w14:paraId="259D93AF"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985.0</w:t>
            </w:r>
          </w:p>
        </w:tc>
        <w:tc>
          <w:tcPr>
            <w:tcW w:w="447" w:type="pct"/>
            <w:tcBorders>
              <w:top w:val="nil"/>
              <w:left w:val="nil"/>
              <w:bottom w:val="single" w:sz="4" w:space="0" w:color="auto"/>
              <w:right w:val="single" w:sz="4" w:space="0" w:color="auto"/>
            </w:tcBorders>
            <w:shd w:val="clear" w:color="auto" w:fill="auto"/>
            <w:noWrap/>
            <w:vAlign w:val="bottom"/>
            <w:hideMark/>
          </w:tcPr>
          <w:p w14:paraId="293777F1"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22.42</w:t>
            </w:r>
          </w:p>
        </w:tc>
        <w:tc>
          <w:tcPr>
            <w:tcW w:w="446" w:type="pct"/>
            <w:tcBorders>
              <w:top w:val="nil"/>
              <w:left w:val="nil"/>
              <w:bottom w:val="single" w:sz="4" w:space="0" w:color="auto"/>
              <w:right w:val="single" w:sz="4" w:space="0" w:color="auto"/>
            </w:tcBorders>
            <w:shd w:val="clear" w:color="auto" w:fill="auto"/>
            <w:noWrap/>
            <w:vAlign w:val="bottom"/>
            <w:hideMark/>
          </w:tcPr>
          <w:p w14:paraId="50012A72"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77.58</w:t>
            </w:r>
          </w:p>
        </w:tc>
      </w:tr>
      <w:tr w:rsidR="00097064" w:rsidRPr="00BD1A8E" w14:paraId="49095936" w14:textId="77777777" w:rsidTr="00097064">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14:paraId="6C6D18FA"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2001</w:t>
            </w:r>
          </w:p>
        </w:tc>
        <w:tc>
          <w:tcPr>
            <w:tcW w:w="522" w:type="pct"/>
            <w:tcBorders>
              <w:top w:val="nil"/>
              <w:left w:val="nil"/>
              <w:bottom w:val="single" w:sz="4" w:space="0" w:color="auto"/>
              <w:right w:val="single" w:sz="4" w:space="0" w:color="auto"/>
            </w:tcBorders>
            <w:shd w:val="clear" w:color="auto" w:fill="auto"/>
            <w:noWrap/>
            <w:vAlign w:val="bottom"/>
            <w:hideMark/>
          </w:tcPr>
          <w:p w14:paraId="30642210"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1,839.9</w:t>
            </w:r>
          </w:p>
        </w:tc>
        <w:tc>
          <w:tcPr>
            <w:tcW w:w="374" w:type="pct"/>
            <w:tcBorders>
              <w:top w:val="nil"/>
              <w:left w:val="nil"/>
              <w:bottom w:val="single" w:sz="4" w:space="0" w:color="auto"/>
              <w:right w:val="single" w:sz="4" w:space="0" w:color="auto"/>
            </w:tcBorders>
            <w:shd w:val="clear" w:color="auto" w:fill="auto"/>
            <w:noWrap/>
            <w:vAlign w:val="bottom"/>
            <w:hideMark/>
          </w:tcPr>
          <w:p w14:paraId="0C7B8161"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28.0</w:t>
            </w:r>
          </w:p>
        </w:tc>
        <w:tc>
          <w:tcPr>
            <w:tcW w:w="447" w:type="pct"/>
            <w:tcBorders>
              <w:top w:val="nil"/>
              <w:left w:val="nil"/>
              <w:bottom w:val="single" w:sz="4" w:space="0" w:color="auto"/>
              <w:right w:val="single" w:sz="4" w:space="0" w:color="auto"/>
            </w:tcBorders>
            <w:shd w:val="clear" w:color="auto" w:fill="auto"/>
            <w:noWrap/>
            <w:vAlign w:val="bottom"/>
            <w:hideMark/>
          </w:tcPr>
          <w:p w14:paraId="791F173D"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1,868.0</w:t>
            </w:r>
          </w:p>
        </w:tc>
        <w:tc>
          <w:tcPr>
            <w:tcW w:w="450" w:type="pct"/>
            <w:tcBorders>
              <w:top w:val="nil"/>
              <w:left w:val="nil"/>
              <w:bottom w:val="single" w:sz="4" w:space="0" w:color="auto"/>
              <w:right w:val="single" w:sz="4" w:space="0" w:color="auto"/>
            </w:tcBorders>
            <w:shd w:val="clear" w:color="auto" w:fill="auto"/>
            <w:noWrap/>
            <w:vAlign w:val="bottom"/>
            <w:hideMark/>
          </w:tcPr>
          <w:p w14:paraId="38CB776C"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98.50</w:t>
            </w:r>
          </w:p>
        </w:tc>
        <w:tc>
          <w:tcPr>
            <w:tcW w:w="374" w:type="pct"/>
            <w:tcBorders>
              <w:top w:val="nil"/>
              <w:left w:val="nil"/>
              <w:bottom w:val="single" w:sz="4" w:space="0" w:color="auto"/>
              <w:right w:val="single" w:sz="4" w:space="0" w:color="auto"/>
            </w:tcBorders>
            <w:shd w:val="clear" w:color="auto" w:fill="auto"/>
            <w:noWrap/>
            <w:vAlign w:val="bottom"/>
            <w:hideMark/>
          </w:tcPr>
          <w:p w14:paraId="70B1323D"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1.50</w:t>
            </w:r>
          </w:p>
        </w:tc>
        <w:tc>
          <w:tcPr>
            <w:tcW w:w="445" w:type="pct"/>
            <w:tcBorders>
              <w:top w:val="nil"/>
              <w:left w:val="nil"/>
              <w:bottom w:val="single" w:sz="4" w:space="0" w:color="auto"/>
              <w:right w:val="single" w:sz="4" w:space="0" w:color="auto"/>
            </w:tcBorders>
            <w:shd w:val="clear" w:color="auto" w:fill="auto"/>
            <w:noWrap/>
            <w:vAlign w:val="bottom"/>
            <w:hideMark/>
          </w:tcPr>
          <w:p w14:paraId="58E13D5A"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237.1</w:t>
            </w:r>
          </w:p>
        </w:tc>
        <w:tc>
          <w:tcPr>
            <w:tcW w:w="525" w:type="pct"/>
            <w:tcBorders>
              <w:top w:val="nil"/>
              <w:left w:val="nil"/>
              <w:bottom w:val="single" w:sz="4" w:space="0" w:color="auto"/>
              <w:right w:val="single" w:sz="4" w:space="0" w:color="auto"/>
            </w:tcBorders>
            <w:shd w:val="clear" w:color="auto" w:fill="auto"/>
            <w:noWrap/>
            <w:vAlign w:val="bottom"/>
            <w:hideMark/>
          </w:tcPr>
          <w:p w14:paraId="53FB94D0"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1,121.1</w:t>
            </w:r>
          </w:p>
        </w:tc>
        <w:tc>
          <w:tcPr>
            <w:tcW w:w="523" w:type="pct"/>
            <w:tcBorders>
              <w:top w:val="nil"/>
              <w:left w:val="nil"/>
              <w:bottom w:val="single" w:sz="4" w:space="0" w:color="auto"/>
              <w:right w:val="single" w:sz="4" w:space="0" w:color="auto"/>
            </w:tcBorders>
            <w:shd w:val="clear" w:color="auto" w:fill="auto"/>
            <w:noWrap/>
            <w:vAlign w:val="bottom"/>
            <w:hideMark/>
          </w:tcPr>
          <w:p w14:paraId="7588D7B6"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1,358.2</w:t>
            </w:r>
          </w:p>
        </w:tc>
        <w:tc>
          <w:tcPr>
            <w:tcW w:w="447" w:type="pct"/>
            <w:tcBorders>
              <w:top w:val="nil"/>
              <w:left w:val="nil"/>
              <w:bottom w:val="single" w:sz="4" w:space="0" w:color="auto"/>
              <w:right w:val="single" w:sz="4" w:space="0" w:color="auto"/>
            </w:tcBorders>
            <w:shd w:val="clear" w:color="auto" w:fill="auto"/>
            <w:noWrap/>
            <w:vAlign w:val="bottom"/>
            <w:hideMark/>
          </w:tcPr>
          <w:p w14:paraId="1DC84D64"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17.46</w:t>
            </w:r>
          </w:p>
        </w:tc>
        <w:tc>
          <w:tcPr>
            <w:tcW w:w="446" w:type="pct"/>
            <w:tcBorders>
              <w:top w:val="nil"/>
              <w:left w:val="nil"/>
              <w:bottom w:val="single" w:sz="4" w:space="0" w:color="auto"/>
              <w:right w:val="single" w:sz="4" w:space="0" w:color="auto"/>
            </w:tcBorders>
            <w:shd w:val="clear" w:color="auto" w:fill="auto"/>
            <w:noWrap/>
            <w:vAlign w:val="bottom"/>
            <w:hideMark/>
          </w:tcPr>
          <w:p w14:paraId="284DBAF0"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82.54</w:t>
            </w:r>
          </w:p>
        </w:tc>
      </w:tr>
      <w:tr w:rsidR="00097064" w:rsidRPr="00BD1A8E" w14:paraId="39994390" w14:textId="77777777" w:rsidTr="00097064">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14:paraId="06B04629"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2002</w:t>
            </w:r>
          </w:p>
        </w:tc>
        <w:tc>
          <w:tcPr>
            <w:tcW w:w="522" w:type="pct"/>
            <w:tcBorders>
              <w:top w:val="nil"/>
              <w:left w:val="nil"/>
              <w:bottom w:val="single" w:sz="4" w:space="0" w:color="auto"/>
              <w:right w:val="single" w:sz="4" w:space="0" w:color="auto"/>
            </w:tcBorders>
            <w:shd w:val="clear" w:color="auto" w:fill="auto"/>
            <w:noWrap/>
            <w:vAlign w:val="bottom"/>
            <w:hideMark/>
          </w:tcPr>
          <w:p w14:paraId="338048B2"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1,649.4</w:t>
            </w:r>
          </w:p>
        </w:tc>
        <w:tc>
          <w:tcPr>
            <w:tcW w:w="374" w:type="pct"/>
            <w:tcBorders>
              <w:top w:val="nil"/>
              <w:left w:val="nil"/>
              <w:bottom w:val="single" w:sz="4" w:space="0" w:color="auto"/>
              <w:right w:val="single" w:sz="4" w:space="0" w:color="auto"/>
            </w:tcBorders>
            <w:shd w:val="clear" w:color="auto" w:fill="auto"/>
            <w:noWrap/>
            <w:vAlign w:val="bottom"/>
            <w:hideMark/>
          </w:tcPr>
          <w:p w14:paraId="5B71982C"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94.7</w:t>
            </w:r>
          </w:p>
        </w:tc>
        <w:tc>
          <w:tcPr>
            <w:tcW w:w="447" w:type="pct"/>
            <w:tcBorders>
              <w:top w:val="nil"/>
              <w:left w:val="nil"/>
              <w:bottom w:val="single" w:sz="4" w:space="0" w:color="auto"/>
              <w:right w:val="single" w:sz="4" w:space="0" w:color="auto"/>
            </w:tcBorders>
            <w:shd w:val="clear" w:color="auto" w:fill="auto"/>
            <w:noWrap/>
            <w:vAlign w:val="bottom"/>
            <w:hideMark/>
          </w:tcPr>
          <w:p w14:paraId="2FE7C313"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1,744.2</w:t>
            </w:r>
          </w:p>
        </w:tc>
        <w:tc>
          <w:tcPr>
            <w:tcW w:w="450" w:type="pct"/>
            <w:tcBorders>
              <w:top w:val="nil"/>
              <w:left w:val="nil"/>
              <w:bottom w:val="single" w:sz="4" w:space="0" w:color="auto"/>
              <w:right w:val="single" w:sz="4" w:space="0" w:color="auto"/>
            </w:tcBorders>
            <w:shd w:val="clear" w:color="auto" w:fill="auto"/>
            <w:noWrap/>
            <w:vAlign w:val="bottom"/>
            <w:hideMark/>
          </w:tcPr>
          <w:p w14:paraId="693389BD"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94.57</w:t>
            </w:r>
          </w:p>
        </w:tc>
        <w:tc>
          <w:tcPr>
            <w:tcW w:w="374" w:type="pct"/>
            <w:tcBorders>
              <w:top w:val="nil"/>
              <w:left w:val="nil"/>
              <w:bottom w:val="single" w:sz="4" w:space="0" w:color="auto"/>
              <w:right w:val="single" w:sz="4" w:space="0" w:color="auto"/>
            </w:tcBorders>
            <w:shd w:val="clear" w:color="auto" w:fill="auto"/>
            <w:noWrap/>
            <w:vAlign w:val="bottom"/>
            <w:hideMark/>
          </w:tcPr>
          <w:p w14:paraId="79380FB1"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5.43</w:t>
            </w:r>
          </w:p>
        </w:tc>
        <w:tc>
          <w:tcPr>
            <w:tcW w:w="445" w:type="pct"/>
            <w:tcBorders>
              <w:top w:val="nil"/>
              <w:left w:val="nil"/>
              <w:bottom w:val="single" w:sz="4" w:space="0" w:color="auto"/>
              <w:right w:val="single" w:sz="4" w:space="0" w:color="auto"/>
            </w:tcBorders>
            <w:shd w:val="clear" w:color="auto" w:fill="auto"/>
            <w:noWrap/>
            <w:vAlign w:val="bottom"/>
            <w:hideMark/>
          </w:tcPr>
          <w:p w14:paraId="76BEF90D"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361.7</w:t>
            </w:r>
          </w:p>
        </w:tc>
        <w:tc>
          <w:tcPr>
            <w:tcW w:w="525" w:type="pct"/>
            <w:tcBorders>
              <w:top w:val="nil"/>
              <w:left w:val="nil"/>
              <w:bottom w:val="single" w:sz="4" w:space="0" w:color="auto"/>
              <w:right w:val="single" w:sz="4" w:space="0" w:color="auto"/>
            </w:tcBorders>
            <w:shd w:val="clear" w:color="auto" w:fill="auto"/>
            <w:noWrap/>
            <w:vAlign w:val="bottom"/>
            <w:hideMark/>
          </w:tcPr>
          <w:p w14:paraId="17655C64"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1,151.0</w:t>
            </w:r>
          </w:p>
        </w:tc>
        <w:tc>
          <w:tcPr>
            <w:tcW w:w="523" w:type="pct"/>
            <w:tcBorders>
              <w:top w:val="nil"/>
              <w:left w:val="nil"/>
              <w:bottom w:val="single" w:sz="4" w:space="0" w:color="auto"/>
              <w:right w:val="single" w:sz="4" w:space="0" w:color="auto"/>
            </w:tcBorders>
            <w:shd w:val="clear" w:color="auto" w:fill="auto"/>
            <w:noWrap/>
            <w:vAlign w:val="bottom"/>
            <w:hideMark/>
          </w:tcPr>
          <w:p w14:paraId="269614C3"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1,512.7</w:t>
            </w:r>
          </w:p>
        </w:tc>
        <w:tc>
          <w:tcPr>
            <w:tcW w:w="447" w:type="pct"/>
            <w:tcBorders>
              <w:top w:val="nil"/>
              <w:left w:val="nil"/>
              <w:bottom w:val="single" w:sz="4" w:space="0" w:color="auto"/>
              <w:right w:val="single" w:sz="4" w:space="0" w:color="auto"/>
            </w:tcBorders>
            <w:shd w:val="clear" w:color="auto" w:fill="auto"/>
            <w:noWrap/>
            <w:vAlign w:val="bottom"/>
            <w:hideMark/>
          </w:tcPr>
          <w:p w14:paraId="66A74BAA"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23.91</w:t>
            </w:r>
          </w:p>
        </w:tc>
        <w:tc>
          <w:tcPr>
            <w:tcW w:w="446" w:type="pct"/>
            <w:tcBorders>
              <w:top w:val="nil"/>
              <w:left w:val="nil"/>
              <w:bottom w:val="single" w:sz="4" w:space="0" w:color="auto"/>
              <w:right w:val="single" w:sz="4" w:space="0" w:color="auto"/>
            </w:tcBorders>
            <w:shd w:val="clear" w:color="auto" w:fill="auto"/>
            <w:noWrap/>
            <w:vAlign w:val="bottom"/>
            <w:hideMark/>
          </w:tcPr>
          <w:p w14:paraId="3B0E95E5"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76.09</w:t>
            </w:r>
          </w:p>
        </w:tc>
      </w:tr>
      <w:tr w:rsidR="00097064" w:rsidRPr="00BD1A8E" w14:paraId="7740BD4C" w14:textId="77777777" w:rsidTr="00097064">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14:paraId="47C1CF31"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2003</w:t>
            </w:r>
          </w:p>
        </w:tc>
        <w:tc>
          <w:tcPr>
            <w:tcW w:w="522" w:type="pct"/>
            <w:tcBorders>
              <w:top w:val="nil"/>
              <w:left w:val="nil"/>
              <w:bottom w:val="single" w:sz="4" w:space="0" w:color="auto"/>
              <w:right w:val="single" w:sz="4" w:space="0" w:color="auto"/>
            </w:tcBorders>
            <w:shd w:val="clear" w:color="auto" w:fill="auto"/>
            <w:noWrap/>
            <w:vAlign w:val="bottom"/>
            <w:hideMark/>
          </w:tcPr>
          <w:p w14:paraId="71366982"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2,993.1</w:t>
            </w:r>
          </w:p>
        </w:tc>
        <w:tc>
          <w:tcPr>
            <w:tcW w:w="374" w:type="pct"/>
            <w:tcBorders>
              <w:top w:val="nil"/>
              <w:left w:val="nil"/>
              <w:bottom w:val="single" w:sz="4" w:space="0" w:color="auto"/>
              <w:right w:val="single" w:sz="4" w:space="0" w:color="auto"/>
            </w:tcBorders>
            <w:shd w:val="clear" w:color="auto" w:fill="auto"/>
            <w:noWrap/>
            <w:vAlign w:val="bottom"/>
            <w:hideMark/>
          </w:tcPr>
          <w:p w14:paraId="4F7A90D8"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94.8</w:t>
            </w:r>
          </w:p>
        </w:tc>
        <w:tc>
          <w:tcPr>
            <w:tcW w:w="447" w:type="pct"/>
            <w:tcBorders>
              <w:top w:val="nil"/>
              <w:left w:val="nil"/>
              <w:bottom w:val="single" w:sz="4" w:space="0" w:color="auto"/>
              <w:right w:val="single" w:sz="4" w:space="0" w:color="auto"/>
            </w:tcBorders>
            <w:shd w:val="clear" w:color="auto" w:fill="auto"/>
            <w:noWrap/>
            <w:vAlign w:val="bottom"/>
            <w:hideMark/>
          </w:tcPr>
          <w:p w14:paraId="2C13889C"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3,087.9</w:t>
            </w:r>
          </w:p>
        </w:tc>
        <w:tc>
          <w:tcPr>
            <w:tcW w:w="450" w:type="pct"/>
            <w:tcBorders>
              <w:top w:val="nil"/>
              <w:left w:val="nil"/>
              <w:bottom w:val="single" w:sz="4" w:space="0" w:color="auto"/>
              <w:right w:val="single" w:sz="4" w:space="0" w:color="auto"/>
            </w:tcBorders>
            <w:shd w:val="clear" w:color="auto" w:fill="auto"/>
            <w:noWrap/>
            <w:vAlign w:val="bottom"/>
            <w:hideMark/>
          </w:tcPr>
          <w:p w14:paraId="046C8FDC"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96.93</w:t>
            </w:r>
          </w:p>
        </w:tc>
        <w:tc>
          <w:tcPr>
            <w:tcW w:w="374" w:type="pct"/>
            <w:tcBorders>
              <w:top w:val="nil"/>
              <w:left w:val="nil"/>
              <w:bottom w:val="single" w:sz="4" w:space="0" w:color="auto"/>
              <w:right w:val="single" w:sz="4" w:space="0" w:color="auto"/>
            </w:tcBorders>
            <w:shd w:val="clear" w:color="auto" w:fill="auto"/>
            <w:noWrap/>
            <w:vAlign w:val="bottom"/>
            <w:hideMark/>
          </w:tcPr>
          <w:p w14:paraId="53D78D77"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3.07</w:t>
            </w:r>
          </w:p>
        </w:tc>
        <w:tc>
          <w:tcPr>
            <w:tcW w:w="445" w:type="pct"/>
            <w:tcBorders>
              <w:top w:val="nil"/>
              <w:left w:val="nil"/>
              <w:bottom w:val="single" w:sz="4" w:space="0" w:color="auto"/>
              <w:right w:val="single" w:sz="4" w:space="0" w:color="auto"/>
            </w:tcBorders>
            <w:shd w:val="clear" w:color="auto" w:fill="auto"/>
            <w:noWrap/>
            <w:vAlign w:val="bottom"/>
            <w:hideMark/>
          </w:tcPr>
          <w:p w14:paraId="0F5ADDF5"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398.9</w:t>
            </w:r>
          </w:p>
        </w:tc>
        <w:tc>
          <w:tcPr>
            <w:tcW w:w="525" w:type="pct"/>
            <w:tcBorders>
              <w:top w:val="nil"/>
              <w:left w:val="nil"/>
              <w:bottom w:val="single" w:sz="4" w:space="0" w:color="auto"/>
              <w:right w:val="single" w:sz="4" w:space="0" w:color="auto"/>
            </w:tcBorders>
            <w:shd w:val="clear" w:color="auto" w:fill="auto"/>
            <w:noWrap/>
            <w:vAlign w:val="bottom"/>
            <w:hideMark/>
          </w:tcPr>
          <w:p w14:paraId="2C01BDAC"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1,681.3</w:t>
            </w:r>
          </w:p>
        </w:tc>
        <w:tc>
          <w:tcPr>
            <w:tcW w:w="523" w:type="pct"/>
            <w:tcBorders>
              <w:top w:val="nil"/>
              <w:left w:val="nil"/>
              <w:bottom w:val="single" w:sz="4" w:space="0" w:color="auto"/>
              <w:right w:val="single" w:sz="4" w:space="0" w:color="auto"/>
            </w:tcBorders>
            <w:shd w:val="clear" w:color="auto" w:fill="auto"/>
            <w:noWrap/>
            <w:vAlign w:val="bottom"/>
            <w:hideMark/>
          </w:tcPr>
          <w:p w14:paraId="59D635C4"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2,080.2</w:t>
            </w:r>
          </w:p>
        </w:tc>
        <w:tc>
          <w:tcPr>
            <w:tcW w:w="447" w:type="pct"/>
            <w:tcBorders>
              <w:top w:val="nil"/>
              <w:left w:val="nil"/>
              <w:bottom w:val="single" w:sz="4" w:space="0" w:color="auto"/>
              <w:right w:val="single" w:sz="4" w:space="0" w:color="auto"/>
            </w:tcBorders>
            <w:shd w:val="clear" w:color="auto" w:fill="auto"/>
            <w:noWrap/>
            <w:vAlign w:val="bottom"/>
            <w:hideMark/>
          </w:tcPr>
          <w:p w14:paraId="09D98895"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19.18</w:t>
            </w:r>
          </w:p>
        </w:tc>
        <w:tc>
          <w:tcPr>
            <w:tcW w:w="446" w:type="pct"/>
            <w:tcBorders>
              <w:top w:val="nil"/>
              <w:left w:val="nil"/>
              <w:bottom w:val="single" w:sz="4" w:space="0" w:color="auto"/>
              <w:right w:val="single" w:sz="4" w:space="0" w:color="auto"/>
            </w:tcBorders>
            <w:shd w:val="clear" w:color="auto" w:fill="auto"/>
            <w:noWrap/>
            <w:vAlign w:val="bottom"/>
            <w:hideMark/>
          </w:tcPr>
          <w:p w14:paraId="79597093"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80.82</w:t>
            </w:r>
          </w:p>
        </w:tc>
      </w:tr>
      <w:tr w:rsidR="00097064" w:rsidRPr="00BD1A8E" w14:paraId="5B4D32AB" w14:textId="77777777" w:rsidTr="00097064">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14:paraId="09AAFD3B"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2004</w:t>
            </w:r>
          </w:p>
        </w:tc>
        <w:tc>
          <w:tcPr>
            <w:tcW w:w="522" w:type="pct"/>
            <w:tcBorders>
              <w:top w:val="nil"/>
              <w:left w:val="nil"/>
              <w:bottom w:val="single" w:sz="4" w:space="0" w:color="auto"/>
              <w:right w:val="single" w:sz="4" w:space="0" w:color="auto"/>
            </w:tcBorders>
            <w:shd w:val="clear" w:color="auto" w:fill="auto"/>
            <w:noWrap/>
            <w:vAlign w:val="bottom"/>
            <w:hideMark/>
          </w:tcPr>
          <w:p w14:paraId="7FC17435"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4,489.5</w:t>
            </w:r>
          </w:p>
        </w:tc>
        <w:tc>
          <w:tcPr>
            <w:tcW w:w="374" w:type="pct"/>
            <w:tcBorders>
              <w:top w:val="nil"/>
              <w:left w:val="nil"/>
              <w:bottom w:val="single" w:sz="4" w:space="0" w:color="auto"/>
              <w:right w:val="single" w:sz="4" w:space="0" w:color="auto"/>
            </w:tcBorders>
            <w:shd w:val="clear" w:color="auto" w:fill="auto"/>
            <w:noWrap/>
            <w:vAlign w:val="bottom"/>
            <w:hideMark/>
          </w:tcPr>
          <w:p w14:paraId="3B9402CD"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113.3</w:t>
            </w:r>
          </w:p>
        </w:tc>
        <w:tc>
          <w:tcPr>
            <w:tcW w:w="447" w:type="pct"/>
            <w:tcBorders>
              <w:top w:val="nil"/>
              <w:left w:val="nil"/>
              <w:bottom w:val="single" w:sz="4" w:space="0" w:color="auto"/>
              <w:right w:val="single" w:sz="4" w:space="0" w:color="auto"/>
            </w:tcBorders>
            <w:shd w:val="clear" w:color="auto" w:fill="auto"/>
            <w:noWrap/>
            <w:vAlign w:val="bottom"/>
            <w:hideMark/>
          </w:tcPr>
          <w:p w14:paraId="383C3B87"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4,602.8</w:t>
            </w:r>
          </w:p>
        </w:tc>
        <w:tc>
          <w:tcPr>
            <w:tcW w:w="450" w:type="pct"/>
            <w:tcBorders>
              <w:top w:val="nil"/>
              <w:left w:val="nil"/>
              <w:bottom w:val="single" w:sz="4" w:space="0" w:color="auto"/>
              <w:right w:val="single" w:sz="4" w:space="0" w:color="auto"/>
            </w:tcBorders>
            <w:shd w:val="clear" w:color="auto" w:fill="auto"/>
            <w:noWrap/>
            <w:vAlign w:val="bottom"/>
            <w:hideMark/>
          </w:tcPr>
          <w:p w14:paraId="79C487B3"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97.54</w:t>
            </w:r>
          </w:p>
        </w:tc>
        <w:tc>
          <w:tcPr>
            <w:tcW w:w="374" w:type="pct"/>
            <w:tcBorders>
              <w:top w:val="nil"/>
              <w:left w:val="nil"/>
              <w:bottom w:val="single" w:sz="4" w:space="0" w:color="auto"/>
              <w:right w:val="single" w:sz="4" w:space="0" w:color="auto"/>
            </w:tcBorders>
            <w:shd w:val="clear" w:color="auto" w:fill="auto"/>
            <w:noWrap/>
            <w:vAlign w:val="bottom"/>
            <w:hideMark/>
          </w:tcPr>
          <w:p w14:paraId="0396E02F"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2.46</w:t>
            </w:r>
          </w:p>
        </w:tc>
        <w:tc>
          <w:tcPr>
            <w:tcW w:w="445" w:type="pct"/>
            <w:tcBorders>
              <w:top w:val="nil"/>
              <w:left w:val="nil"/>
              <w:bottom w:val="single" w:sz="4" w:space="0" w:color="auto"/>
              <w:right w:val="single" w:sz="4" w:space="0" w:color="auto"/>
            </w:tcBorders>
            <w:shd w:val="clear" w:color="auto" w:fill="auto"/>
            <w:noWrap/>
            <w:vAlign w:val="bottom"/>
            <w:hideMark/>
          </w:tcPr>
          <w:p w14:paraId="4E230BD1"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318.1</w:t>
            </w:r>
          </w:p>
        </w:tc>
        <w:tc>
          <w:tcPr>
            <w:tcW w:w="525" w:type="pct"/>
            <w:tcBorders>
              <w:top w:val="nil"/>
              <w:left w:val="nil"/>
              <w:bottom w:val="single" w:sz="4" w:space="0" w:color="auto"/>
              <w:right w:val="single" w:sz="4" w:space="0" w:color="auto"/>
            </w:tcBorders>
            <w:shd w:val="clear" w:color="auto" w:fill="auto"/>
            <w:noWrap/>
            <w:vAlign w:val="bottom"/>
            <w:hideMark/>
          </w:tcPr>
          <w:p w14:paraId="3189393A"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1,668.9</w:t>
            </w:r>
          </w:p>
        </w:tc>
        <w:tc>
          <w:tcPr>
            <w:tcW w:w="523" w:type="pct"/>
            <w:tcBorders>
              <w:top w:val="nil"/>
              <w:left w:val="nil"/>
              <w:bottom w:val="single" w:sz="4" w:space="0" w:color="auto"/>
              <w:right w:val="single" w:sz="4" w:space="0" w:color="auto"/>
            </w:tcBorders>
            <w:shd w:val="clear" w:color="auto" w:fill="auto"/>
            <w:noWrap/>
            <w:vAlign w:val="bottom"/>
            <w:hideMark/>
          </w:tcPr>
          <w:p w14:paraId="786539E9"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1,987.0</w:t>
            </w:r>
          </w:p>
        </w:tc>
        <w:tc>
          <w:tcPr>
            <w:tcW w:w="447" w:type="pct"/>
            <w:tcBorders>
              <w:top w:val="nil"/>
              <w:left w:val="nil"/>
              <w:bottom w:val="single" w:sz="4" w:space="0" w:color="auto"/>
              <w:right w:val="single" w:sz="4" w:space="0" w:color="auto"/>
            </w:tcBorders>
            <w:shd w:val="clear" w:color="auto" w:fill="auto"/>
            <w:noWrap/>
            <w:vAlign w:val="bottom"/>
            <w:hideMark/>
          </w:tcPr>
          <w:p w14:paraId="5E6BA9A9"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16.01</w:t>
            </w:r>
          </w:p>
        </w:tc>
        <w:tc>
          <w:tcPr>
            <w:tcW w:w="446" w:type="pct"/>
            <w:tcBorders>
              <w:top w:val="nil"/>
              <w:left w:val="nil"/>
              <w:bottom w:val="single" w:sz="4" w:space="0" w:color="auto"/>
              <w:right w:val="single" w:sz="4" w:space="0" w:color="auto"/>
            </w:tcBorders>
            <w:shd w:val="clear" w:color="auto" w:fill="auto"/>
            <w:noWrap/>
            <w:vAlign w:val="bottom"/>
            <w:hideMark/>
          </w:tcPr>
          <w:p w14:paraId="6358A8B6"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83.99</w:t>
            </w:r>
          </w:p>
        </w:tc>
      </w:tr>
      <w:tr w:rsidR="00097064" w:rsidRPr="00BD1A8E" w14:paraId="74C6C9A3" w14:textId="77777777" w:rsidTr="00097064">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14:paraId="3B9DC12F"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2005</w:t>
            </w:r>
          </w:p>
        </w:tc>
        <w:tc>
          <w:tcPr>
            <w:tcW w:w="522" w:type="pct"/>
            <w:tcBorders>
              <w:top w:val="nil"/>
              <w:left w:val="nil"/>
              <w:bottom w:val="single" w:sz="4" w:space="0" w:color="auto"/>
              <w:right w:val="single" w:sz="4" w:space="0" w:color="auto"/>
            </w:tcBorders>
            <w:shd w:val="clear" w:color="auto" w:fill="auto"/>
            <w:noWrap/>
            <w:vAlign w:val="bottom"/>
            <w:hideMark/>
          </w:tcPr>
          <w:p w14:paraId="2E08F39A"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7,140.6</w:t>
            </w:r>
          </w:p>
        </w:tc>
        <w:tc>
          <w:tcPr>
            <w:tcW w:w="374" w:type="pct"/>
            <w:tcBorders>
              <w:top w:val="nil"/>
              <w:left w:val="nil"/>
              <w:bottom w:val="single" w:sz="4" w:space="0" w:color="auto"/>
              <w:right w:val="single" w:sz="4" w:space="0" w:color="auto"/>
            </w:tcBorders>
            <w:shd w:val="clear" w:color="auto" w:fill="auto"/>
            <w:noWrap/>
            <w:vAlign w:val="bottom"/>
            <w:hideMark/>
          </w:tcPr>
          <w:p w14:paraId="28763862"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106.0</w:t>
            </w:r>
          </w:p>
        </w:tc>
        <w:tc>
          <w:tcPr>
            <w:tcW w:w="447" w:type="pct"/>
            <w:tcBorders>
              <w:top w:val="nil"/>
              <w:left w:val="nil"/>
              <w:bottom w:val="single" w:sz="4" w:space="0" w:color="auto"/>
              <w:right w:val="single" w:sz="4" w:space="0" w:color="auto"/>
            </w:tcBorders>
            <w:shd w:val="clear" w:color="auto" w:fill="auto"/>
            <w:noWrap/>
            <w:vAlign w:val="bottom"/>
            <w:hideMark/>
          </w:tcPr>
          <w:p w14:paraId="5A5DCE7C"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7,246.5</w:t>
            </w:r>
          </w:p>
        </w:tc>
        <w:tc>
          <w:tcPr>
            <w:tcW w:w="450" w:type="pct"/>
            <w:tcBorders>
              <w:top w:val="nil"/>
              <w:left w:val="nil"/>
              <w:bottom w:val="single" w:sz="4" w:space="0" w:color="auto"/>
              <w:right w:val="single" w:sz="4" w:space="0" w:color="auto"/>
            </w:tcBorders>
            <w:shd w:val="clear" w:color="auto" w:fill="auto"/>
            <w:noWrap/>
            <w:vAlign w:val="bottom"/>
            <w:hideMark/>
          </w:tcPr>
          <w:p w14:paraId="5BC73E71"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98.54</w:t>
            </w:r>
          </w:p>
        </w:tc>
        <w:tc>
          <w:tcPr>
            <w:tcW w:w="374" w:type="pct"/>
            <w:tcBorders>
              <w:top w:val="nil"/>
              <w:left w:val="nil"/>
              <w:bottom w:val="single" w:sz="4" w:space="0" w:color="auto"/>
              <w:right w:val="single" w:sz="4" w:space="0" w:color="auto"/>
            </w:tcBorders>
            <w:shd w:val="clear" w:color="auto" w:fill="auto"/>
            <w:noWrap/>
            <w:vAlign w:val="bottom"/>
            <w:hideMark/>
          </w:tcPr>
          <w:p w14:paraId="05B35543"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1.46</w:t>
            </w:r>
          </w:p>
        </w:tc>
        <w:tc>
          <w:tcPr>
            <w:tcW w:w="445" w:type="pct"/>
            <w:tcBorders>
              <w:top w:val="nil"/>
              <w:left w:val="nil"/>
              <w:bottom w:val="single" w:sz="4" w:space="0" w:color="auto"/>
              <w:right w:val="single" w:sz="4" w:space="0" w:color="auto"/>
            </w:tcBorders>
            <w:shd w:val="clear" w:color="auto" w:fill="auto"/>
            <w:noWrap/>
            <w:vAlign w:val="bottom"/>
            <w:hideMark/>
          </w:tcPr>
          <w:p w14:paraId="4BDAA782"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797.3</w:t>
            </w:r>
          </w:p>
        </w:tc>
        <w:tc>
          <w:tcPr>
            <w:tcW w:w="525" w:type="pct"/>
            <w:tcBorders>
              <w:top w:val="nil"/>
              <w:left w:val="nil"/>
              <w:bottom w:val="single" w:sz="4" w:space="0" w:color="auto"/>
              <w:right w:val="single" w:sz="4" w:space="0" w:color="auto"/>
            </w:tcBorders>
            <w:shd w:val="clear" w:color="auto" w:fill="auto"/>
            <w:noWrap/>
            <w:vAlign w:val="bottom"/>
            <w:hideMark/>
          </w:tcPr>
          <w:p w14:paraId="1E58FA99"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2,003.6</w:t>
            </w:r>
          </w:p>
        </w:tc>
        <w:tc>
          <w:tcPr>
            <w:tcW w:w="523" w:type="pct"/>
            <w:tcBorders>
              <w:top w:val="nil"/>
              <w:left w:val="nil"/>
              <w:bottom w:val="single" w:sz="4" w:space="0" w:color="auto"/>
              <w:right w:val="single" w:sz="4" w:space="0" w:color="auto"/>
            </w:tcBorders>
            <w:shd w:val="clear" w:color="auto" w:fill="auto"/>
            <w:noWrap/>
            <w:vAlign w:val="bottom"/>
            <w:hideMark/>
          </w:tcPr>
          <w:p w14:paraId="5692874A"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2,800.9</w:t>
            </w:r>
          </w:p>
        </w:tc>
        <w:tc>
          <w:tcPr>
            <w:tcW w:w="447" w:type="pct"/>
            <w:tcBorders>
              <w:top w:val="nil"/>
              <w:left w:val="nil"/>
              <w:bottom w:val="single" w:sz="4" w:space="0" w:color="auto"/>
              <w:right w:val="single" w:sz="4" w:space="0" w:color="auto"/>
            </w:tcBorders>
            <w:shd w:val="clear" w:color="auto" w:fill="auto"/>
            <w:noWrap/>
            <w:vAlign w:val="bottom"/>
            <w:hideMark/>
          </w:tcPr>
          <w:p w14:paraId="4E5CF534"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28.47</w:t>
            </w:r>
          </w:p>
        </w:tc>
        <w:tc>
          <w:tcPr>
            <w:tcW w:w="446" w:type="pct"/>
            <w:tcBorders>
              <w:top w:val="nil"/>
              <w:left w:val="nil"/>
              <w:bottom w:val="single" w:sz="4" w:space="0" w:color="auto"/>
              <w:right w:val="single" w:sz="4" w:space="0" w:color="auto"/>
            </w:tcBorders>
            <w:shd w:val="clear" w:color="auto" w:fill="auto"/>
            <w:noWrap/>
            <w:vAlign w:val="bottom"/>
            <w:hideMark/>
          </w:tcPr>
          <w:p w14:paraId="5F37A521"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71.53</w:t>
            </w:r>
          </w:p>
        </w:tc>
      </w:tr>
      <w:tr w:rsidR="00097064" w:rsidRPr="00BD1A8E" w14:paraId="3F99F2FB" w14:textId="77777777" w:rsidTr="00097064">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14:paraId="09326C94"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2006</w:t>
            </w:r>
          </w:p>
        </w:tc>
        <w:tc>
          <w:tcPr>
            <w:tcW w:w="522" w:type="pct"/>
            <w:tcBorders>
              <w:top w:val="nil"/>
              <w:left w:val="nil"/>
              <w:bottom w:val="single" w:sz="4" w:space="0" w:color="auto"/>
              <w:right w:val="single" w:sz="4" w:space="0" w:color="auto"/>
            </w:tcBorders>
            <w:shd w:val="clear" w:color="auto" w:fill="auto"/>
            <w:noWrap/>
            <w:vAlign w:val="bottom"/>
            <w:hideMark/>
          </w:tcPr>
          <w:p w14:paraId="6E7C0EB4"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7,191.1</w:t>
            </w:r>
          </w:p>
        </w:tc>
        <w:tc>
          <w:tcPr>
            <w:tcW w:w="374" w:type="pct"/>
            <w:tcBorders>
              <w:top w:val="nil"/>
              <w:left w:val="nil"/>
              <w:bottom w:val="single" w:sz="4" w:space="0" w:color="auto"/>
              <w:right w:val="single" w:sz="4" w:space="0" w:color="auto"/>
            </w:tcBorders>
            <w:shd w:val="clear" w:color="auto" w:fill="auto"/>
            <w:noWrap/>
            <w:vAlign w:val="bottom"/>
            <w:hideMark/>
          </w:tcPr>
          <w:p w14:paraId="284CFE49"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133.6</w:t>
            </w:r>
          </w:p>
        </w:tc>
        <w:tc>
          <w:tcPr>
            <w:tcW w:w="447" w:type="pct"/>
            <w:tcBorders>
              <w:top w:val="nil"/>
              <w:left w:val="nil"/>
              <w:bottom w:val="single" w:sz="4" w:space="0" w:color="auto"/>
              <w:right w:val="single" w:sz="4" w:space="0" w:color="auto"/>
            </w:tcBorders>
            <w:shd w:val="clear" w:color="auto" w:fill="auto"/>
            <w:noWrap/>
            <w:vAlign w:val="bottom"/>
            <w:hideMark/>
          </w:tcPr>
          <w:p w14:paraId="2CC409C4"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7,324.7</w:t>
            </w:r>
          </w:p>
        </w:tc>
        <w:tc>
          <w:tcPr>
            <w:tcW w:w="450" w:type="pct"/>
            <w:tcBorders>
              <w:top w:val="nil"/>
              <w:left w:val="nil"/>
              <w:bottom w:val="single" w:sz="4" w:space="0" w:color="auto"/>
              <w:right w:val="single" w:sz="4" w:space="0" w:color="auto"/>
            </w:tcBorders>
            <w:shd w:val="clear" w:color="auto" w:fill="auto"/>
            <w:noWrap/>
            <w:vAlign w:val="bottom"/>
            <w:hideMark/>
          </w:tcPr>
          <w:p w14:paraId="77B77679"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98.18</w:t>
            </w:r>
          </w:p>
        </w:tc>
        <w:tc>
          <w:tcPr>
            <w:tcW w:w="374" w:type="pct"/>
            <w:tcBorders>
              <w:top w:val="nil"/>
              <w:left w:val="nil"/>
              <w:bottom w:val="single" w:sz="4" w:space="0" w:color="auto"/>
              <w:right w:val="single" w:sz="4" w:space="0" w:color="auto"/>
            </w:tcBorders>
            <w:shd w:val="clear" w:color="auto" w:fill="auto"/>
            <w:noWrap/>
            <w:vAlign w:val="bottom"/>
            <w:hideMark/>
          </w:tcPr>
          <w:p w14:paraId="5448EABB"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1.82</w:t>
            </w:r>
          </w:p>
        </w:tc>
        <w:tc>
          <w:tcPr>
            <w:tcW w:w="445" w:type="pct"/>
            <w:tcBorders>
              <w:top w:val="nil"/>
              <w:left w:val="nil"/>
              <w:bottom w:val="single" w:sz="4" w:space="0" w:color="auto"/>
              <w:right w:val="single" w:sz="4" w:space="0" w:color="auto"/>
            </w:tcBorders>
            <w:shd w:val="clear" w:color="auto" w:fill="auto"/>
            <w:noWrap/>
            <w:vAlign w:val="bottom"/>
            <w:hideMark/>
          </w:tcPr>
          <w:p w14:paraId="0C61DBA2"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710.7</w:t>
            </w:r>
          </w:p>
        </w:tc>
        <w:tc>
          <w:tcPr>
            <w:tcW w:w="525" w:type="pct"/>
            <w:tcBorders>
              <w:top w:val="nil"/>
              <w:left w:val="nil"/>
              <w:bottom w:val="single" w:sz="4" w:space="0" w:color="auto"/>
              <w:right w:val="single" w:sz="4" w:space="0" w:color="auto"/>
            </w:tcBorders>
            <w:shd w:val="clear" w:color="auto" w:fill="auto"/>
            <w:noWrap/>
            <w:vAlign w:val="bottom"/>
            <w:hideMark/>
          </w:tcPr>
          <w:p w14:paraId="21338535"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2,397.8</w:t>
            </w:r>
          </w:p>
        </w:tc>
        <w:tc>
          <w:tcPr>
            <w:tcW w:w="523" w:type="pct"/>
            <w:tcBorders>
              <w:top w:val="nil"/>
              <w:left w:val="nil"/>
              <w:bottom w:val="single" w:sz="4" w:space="0" w:color="auto"/>
              <w:right w:val="single" w:sz="4" w:space="0" w:color="auto"/>
            </w:tcBorders>
            <w:shd w:val="clear" w:color="auto" w:fill="auto"/>
            <w:noWrap/>
            <w:vAlign w:val="bottom"/>
            <w:hideMark/>
          </w:tcPr>
          <w:p w14:paraId="508A144D"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3,108.5</w:t>
            </w:r>
          </w:p>
        </w:tc>
        <w:tc>
          <w:tcPr>
            <w:tcW w:w="447" w:type="pct"/>
            <w:tcBorders>
              <w:top w:val="nil"/>
              <w:left w:val="nil"/>
              <w:bottom w:val="single" w:sz="4" w:space="0" w:color="auto"/>
              <w:right w:val="single" w:sz="4" w:space="0" w:color="auto"/>
            </w:tcBorders>
            <w:shd w:val="clear" w:color="auto" w:fill="auto"/>
            <w:noWrap/>
            <w:vAlign w:val="bottom"/>
            <w:hideMark/>
          </w:tcPr>
          <w:p w14:paraId="5C39A3D7"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22.86</w:t>
            </w:r>
          </w:p>
        </w:tc>
        <w:tc>
          <w:tcPr>
            <w:tcW w:w="446" w:type="pct"/>
            <w:tcBorders>
              <w:top w:val="nil"/>
              <w:left w:val="nil"/>
              <w:bottom w:val="single" w:sz="4" w:space="0" w:color="auto"/>
              <w:right w:val="single" w:sz="4" w:space="0" w:color="auto"/>
            </w:tcBorders>
            <w:shd w:val="clear" w:color="auto" w:fill="auto"/>
            <w:noWrap/>
            <w:vAlign w:val="bottom"/>
            <w:hideMark/>
          </w:tcPr>
          <w:p w14:paraId="2A4F4F17"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77.14</w:t>
            </w:r>
          </w:p>
        </w:tc>
      </w:tr>
      <w:tr w:rsidR="00097064" w:rsidRPr="00BD1A8E" w14:paraId="2823E4B6" w14:textId="77777777" w:rsidTr="00097064">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14:paraId="100B67EB"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2007</w:t>
            </w:r>
          </w:p>
        </w:tc>
        <w:tc>
          <w:tcPr>
            <w:tcW w:w="522" w:type="pct"/>
            <w:tcBorders>
              <w:top w:val="nil"/>
              <w:left w:val="nil"/>
              <w:bottom w:val="single" w:sz="4" w:space="0" w:color="auto"/>
              <w:right w:val="single" w:sz="4" w:space="0" w:color="auto"/>
            </w:tcBorders>
            <w:shd w:val="clear" w:color="auto" w:fill="auto"/>
            <w:noWrap/>
            <w:vAlign w:val="bottom"/>
            <w:hideMark/>
          </w:tcPr>
          <w:p w14:paraId="209E68F5"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8,110.5</w:t>
            </w:r>
          </w:p>
        </w:tc>
        <w:tc>
          <w:tcPr>
            <w:tcW w:w="374" w:type="pct"/>
            <w:tcBorders>
              <w:top w:val="nil"/>
              <w:left w:val="nil"/>
              <w:bottom w:val="single" w:sz="4" w:space="0" w:color="auto"/>
              <w:right w:val="single" w:sz="4" w:space="0" w:color="auto"/>
            </w:tcBorders>
            <w:shd w:val="clear" w:color="auto" w:fill="auto"/>
            <w:noWrap/>
            <w:vAlign w:val="bottom"/>
            <w:hideMark/>
          </w:tcPr>
          <w:p w14:paraId="782D3686"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199.3</w:t>
            </w:r>
          </w:p>
        </w:tc>
        <w:tc>
          <w:tcPr>
            <w:tcW w:w="447" w:type="pct"/>
            <w:tcBorders>
              <w:top w:val="nil"/>
              <w:left w:val="nil"/>
              <w:bottom w:val="single" w:sz="4" w:space="0" w:color="auto"/>
              <w:right w:val="single" w:sz="4" w:space="0" w:color="auto"/>
            </w:tcBorders>
            <w:shd w:val="clear" w:color="auto" w:fill="auto"/>
            <w:noWrap/>
            <w:vAlign w:val="bottom"/>
            <w:hideMark/>
          </w:tcPr>
          <w:p w14:paraId="7991A35E"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8,309.8</w:t>
            </w:r>
          </w:p>
        </w:tc>
        <w:tc>
          <w:tcPr>
            <w:tcW w:w="450" w:type="pct"/>
            <w:tcBorders>
              <w:top w:val="nil"/>
              <w:left w:val="nil"/>
              <w:bottom w:val="single" w:sz="4" w:space="0" w:color="auto"/>
              <w:right w:val="single" w:sz="4" w:space="0" w:color="auto"/>
            </w:tcBorders>
            <w:shd w:val="clear" w:color="auto" w:fill="auto"/>
            <w:noWrap/>
            <w:vAlign w:val="bottom"/>
            <w:hideMark/>
          </w:tcPr>
          <w:p w14:paraId="6335548B"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97.60</w:t>
            </w:r>
          </w:p>
        </w:tc>
        <w:tc>
          <w:tcPr>
            <w:tcW w:w="374" w:type="pct"/>
            <w:tcBorders>
              <w:top w:val="nil"/>
              <w:left w:val="nil"/>
              <w:bottom w:val="single" w:sz="4" w:space="0" w:color="auto"/>
              <w:right w:val="single" w:sz="4" w:space="0" w:color="auto"/>
            </w:tcBorders>
            <w:shd w:val="clear" w:color="auto" w:fill="auto"/>
            <w:noWrap/>
            <w:vAlign w:val="bottom"/>
            <w:hideMark/>
          </w:tcPr>
          <w:p w14:paraId="0FF93B08"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2.40</w:t>
            </w:r>
          </w:p>
        </w:tc>
        <w:tc>
          <w:tcPr>
            <w:tcW w:w="445" w:type="pct"/>
            <w:tcBorders>
              <w:top w:val="nil"/>
              <w:left w:val="nil"/>
              <w:bottom w:val="single" w:sz="4" w:space="0" w:color="auto"/>
              <w:right w:val="single" w:sz="4" w:space="0" w:color="auto"/>
            </w:tcBorders>
            <w:shd w:val="clear" w:color="auto" w:fill="auto"/>
            <w:noWrap/>
            <w:vAlign w:val="bottom"/>
            <w:hideMark/>
          </w:tcPr>
          <w:p w14:paraId="675A4FE9"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768.2</w:t>
            </w:r>
          </w:p>
        </w:tc>
        <w:tc>
          <w:tcPr>
            <w:tcW w:w="525" w:type="pct"/>
            <w:tcBorders>
              <w:top w:val="nil"/>
              <w:left w:val="nil"/>
              <w:bottom w:val="single" w:sz="4" w:space="0" w:color="auto"/>
              <w:right w:val="single" w:sz="4" w:space="0" w:color="auto"/>
            </w:tcBorders>
            <w:shd w:val="clear" w:color="auto" w:fill="auto"/>
            <w:noWrap/>
            <w:vAlign w:val="bottom"/>
            <w:hideMark/>
          </w:tcPr>
          <w:p w14:paraId="0EB88BB8"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3,143.7</w:t>
            </w:r>
          </w:p>
        </w:tc>
        <w:tc>
          <w:tcPr>
            <w:tcW w:w="523" w:type="pct"/>
            <w:tcBorders>
              <w:top w:val="nil"/>
              <w:left w:val="nil"/>
              <w:bottom w:val="single" w:sz="4" w:space="0" w:color="auto"/>
              <w:right w:val="single" w:sz="4" w:space="0" w:color="auto"/>
            </w:tcBorders>
            <w:shd w:val="clear" w:color="auto" w:fill="auto"/>
            <w:noWrap/>
            <w:vAlign w:val="bottom"/>
            <w:hideMark/>
          </w:tcPr>
          <w:p w14:paraId="58D4BECD"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3,912.0</w:t>
            </w:r>
          </w:p>
        </w:tc>
        <w:tc>
          <w:tcPr>
            <w:tcW w:w="447" w:type="pct"/>
            <w:tcBorders>
              <w:top w:val="nil"/>
              <w:left w:val="nil"/>
              <w:bottom w:val="single" w:sz="4" w:space="0" w:color="auto"/>
              <w:right w:val="single" w:sz="4" w:space="0" w:color="auto"/>
            </w:tcBorders>
            <w:shd w:val="clear" w:color="auto" w:fill="auto"/>
            <w:noWrap/>
            <w:vAlign w:val="bottom"/>
            <w:hideMark/>
          </w:tcPr>
          <w:p w14:paraId="74A897B6"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19.64</w:t>
            </w:r>
          </w:p>
        </w:tc>
        <w:tc>
          <w:tcPr>
            <w:tcW w:w="446" w:type="pct"/>
            <w:tcBorders>
              <w:top w:val="nil"/>
              <w:left w:val="nil"/>
              <w:bottom w:val="single" w:sz="4" w:space="0" w:color="auto"/>
              <w:right w:val="single" w:sz="4" w:space="0" w:color="auto"/>
            </w:tcBorders>
            <w:shd w:val="clear" w:color="auto" w:fill="auto"/>
            <w:noWrap/>
            <w:vAlign w:val="bottom"/>
            <w:hideMark/>
          </w:tcPr>
          <w:p w14:paraId="02D107C6"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80.36</w:t>
            </w:r>
          </w:p>
        </w:tc>
      </w:tr>
      <w:tr w:rsidR="00097064" w:rsidRPr="00BD1A8E" w14:paraId="1E3116AD" w14:textId="77777777" w:rsidTr="00097064">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14:paraId="0409F34A"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2008</w:t>
            </w:r>
          </w:p>
        </w:tc>
        <w:tc>
          <w:tcPr>
            <w:tcW w:w="522" w:type="pct"/>
            <w:tcBorders>
              <w:top w:val="nil"/>
              <w:left w:val="nil"/>
              <w:bottom w:val="single" w:sz="4" w:space="0" w:color="auto"/>
              <w:right w:val="single" w:sz="4" w:space="0" w:color="auto"/>
            </w:tcBorders>
            <w:shd w:val="clear" w:color="auto" w:fill="auto"/>
            <w:noWrap/>
            <w:vAlign w:val="bottom"/>
            <w:hideMark/>
          </w:tcPr>
          <w:p w14:paraId="0CC707D9"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9,861.8</w:t>
            </w:r>
          </w:p>
        </w:tc>
        <w:tc>
          <w:tcPr>
            <w:tcW w:w="374" w:type="pct"/>
            <w:tcBorders>
              <w:top w:val="nil"/>
              <w:left w:val="nil"/>
              <w:bottom w:val="single" w:sz="4" w:space="0" w:color="auto"/>
              <w:right w:val="single" w:sz="4" w:space="0" w:color="auto"/>
            </w:tcBorders>
            <w:shd w:val="clear" w:color="auto" w:fill="auto"/>
            <w:noWrap/>
            <w:vAlign w:val="bottom"/>
            <w:hideMark/>
          </w:tcPr>
          <w:p w14:paraId="4A84B885"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252.9</w:t>
            </w:r>
          </w:p>
        </w:tc>
        <w:tc>
          <w:tcPr>
            <w:tcW w:w="447" w:type="pct"/>
            <w:tcBorders>
              <w:top w:val="nil"/>
              <w:left w:val="nil"/>
              <w:bottom w:val="single" w:sz="4" w:space="0" w:color="auto"/>
              <w:right w:val="single" w:sz="4" w:space="0" w:color="auto"/>
            </w:tcBorders>
            <w:shd w:val="clear" w:color="auto" w:fill="auto"/>
            <w:noWrap/>
            <w:vAlign w:val="bottom"/>
            <w:hideMark/>
          </w:tcPr>
          <w:p w14:paraId="60A791FE"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10,114.7</w:t>
            </w:r>
          </w:p>
        </w:tc>
        <w:tc>
          <w:tcPr>
            <w:tcW w:w="450" w:type="pct"/>
            <w:tcBorders>
              <w:top w:val="nil"/>
              <w:left w:val="nil"/>
              <w:bottom w:val="single" w:sz="4" w:space="0" w:color="auto"/>
              <w:right w:val="single" w:sz="4" w:space="0" w:color="auto"/>
            </w:tcBorders>
            <w:shd w:val="clear" w:color="auto" w:fill="auto"/>
            <w:noWrap/>
            <w:vAlign w:val="bottom"/>
            <w:hideMark/>
          </w:tcPr>
          <w:p w14:paraId="1798A8A6"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97.50</w:t>
            </w:r>
          </w:p>
        </w:tc>
        <w:tc>
          <w:tcPr>
            <w:tcW w:w="374" w:type="pct"/>
            <w:tcBorders>
              <w:top w:val="nil"/>
              <w:left w:val="nil"/>
              <w:bottom w:val="single" w:sz="4" w:space="0" w:color="auto"/>
              <w:right w:val="single" w:sz="4" w:space="0" w:color="auto"/>
            </w:tcBorders>
            <w:shd w:val="clear" w:color="auto" w:fill="auto"/>
            <w:noWrap/>
            <w:vAlign w:val="bottom"/>
            <w:hideMark/>
          </w:tcPr>
          <w:p w14:paraId="568AA6F2"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2.50</w:t>
            </w:r>
          </w:p>
        </w:tc>
        <w:tc>
          <w:tcPr>
            <w:tcW w:w="445" w:type="pct"/>
            <w:tcBorders>
              <w:top w:val="nil"/>
              <w:left w:val="nil"/>
              <w:bottom w:val="single" w:sz="4" w:space="0" w:color="auto"/>
              <w:right w:val="single" w:sz="4" w:space="0" w:color="auto"/>
            </w:tcBorders>
            <w:shd w:val="clear" w:color="auto" w:fill="auto"/>
            <w:noWrap/>
            <w:vAlign w:val="bottom"/>
            <w:hideMark/>
          </w:tcPr>
          <w:p w14:paraId="20336610"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1,315.5</w:t>
            </w:r>
          </w:p>
        </w:tc>
        <w:tc>
          <w:tcPr>
            <w:tcW w:w="525" w:type="pct"/>
            <w:tcBorders>
              <w:top w:val="nil"/>
              <w:left w:val="nil"/>
              <w:bottom w:val="single" w:sz="4" w:space="0" w:color="auto"/>
              <w:right w:val="single" w:sz="4" w:space="0" w:color="auto"/>
            </w:tcBorders>
            <w:shd w:val="clear" w:color="auto" w:fill="auto"/>
            <w:noWrap/>
            <w:vAlign w:val="bottom"/>
            <w:hideMark/>
          </w:tcPr>
          <w:p w14:paraId="6EDF269D"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3,922.7</w:t>
            </w:r>
          </w:p>
        </w:tc>
        <w:tc>
          <w:tcPr>
            <w:tcW w:w="523" w:type="pct"/>
            <w:tcBorders>
              <w:top w:val="nil"/>
              <w:left w:val="nil"/>
              <w:bottom w:val="single" w:sz="4" w:space="0" w:color="auto"/>
              <w:right w:val="single" w:sz="4" w:space="0" w:color="auto"/>
            </w:tcBorders>
            <w:shd w:val="clear" w:color="auto" w:fill="auto"/>
            <w:noWrap/>
            <w:vAlign w:val="bottom"/>
            <w:hideMark/>
          </w:tcPr>
          <w:p w14:paraId="01D934B9"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5,238.2</w:t>
            </w:r>
          </w:p>
        </w:tc>
        <w:tc>
          <w:tcPr>
            <w:tcW w:w="447" w:type="pct"/>
            <w:tcBorders>
              <w:top w:val="nil"/>
              <w:left w:val="nil"/>
              <w:bottom w:val="single" w:sz="4" w:space="0" w:color="auto"/>
              <w:right w:val="single" w:sz="4" w:space="0" w:color="auto"/>
            </w:tcBorders>
            <w:shd w:val="clear" w:color="auto" w:fill="auto"/>
            <w:noWrap/>
            <w:vAlign w:val="bottom"/>
            <w:hideMark/>
          </w:tcPr>
          <w:p w14:paraId="04C84F0A"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25.11</w:t>
            </w:r>
          </w:p>
        </w:tc>
        <w:tc>
          <w:tcPr>
            <w:tcW w:w="446" w:type="pct"/>
            <w:tcBorders>
              <w:top w:val="nil"/>
              <w:left w:val="nil"/>
              <w:bottom w:val="single" w:sz="4" w:space="0" w:color="auto"/>
              <w:right w:val="single" w:sz="4" w:space="0" w:color="auto"/>
            </w:tcBorders>
            <w:shd w:val="clear" w:color="auto" w:fill="auto"/>
            <w:noWrap/>
            <w:vAlign w:val="bottom"/>
            <w:hideMark/>
          </w:tcPr>
          <w:p w14:paraId="138CDE19"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74.89</w:t>
            </w:r>
          </w:p>
        </w:tc>
      </w:tr>
      <w:tr w:rsidR="00097064" w:rsidRPr="00BD1A8E" w14:paraId="6B3AB8EF" w14:textId="77777777" w:rsidTr="00097064">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14:paraId="5C3FBEE1"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2009</w:t>
            </w:r>
          </w:p>
        </w:tc>
        <w:tc>
          <w:tcPr>
            <w:tcW w:w="522" w:type="pct"/>
            <w:tcBorders>
              <w:top w:val="nil"/>
              <w:left w:val="nil"/>
              <w:bottom w:val="single" w:sz="4" w:space="0" w:color="auto"/>
              <w:right w:val="single" w:sz="4" w:space="0" w:color="auto"/>
            </w:tcBorders>
            <w:shd w:val="clear" w:color="auto" w:fill="auto"/>
            <w:noWrap/>
            <w:vAlign w:val="bottom"/>
            <w:hideMark/>
          </w:tcPr>
          <w:p w14:paraId="148A9FA3"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8,105.5</w:t>
            </w:r>
          </w:p>
        </w:tc>
        <w:tc>
          <w:tcPr>
            <w:tcW w:w="374" w:type="pct"/>
            <w:tcBorders>
              <w:top w:val="nil"/>
              <w:left w:val="nil"/>
              <w:bottom w:val="single" w:sz="4" w:space="0" w:color="auto"/>
              <w:right w:val="single" w:sz="4" w:space="0" w:color="auto"/>
            </w:tcBorders>
            <w:shd w:val="clear" w:color="auto" w:fill="auto"/>
            <w:noWrap/>
            <w:vAlign w:val="bottom"/>
            <w:hideMark/>
          </w:tcPr>
          <w:p w14:paraId="251ADC93"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296.7</w:t>
            </w:r>
          </w:p>
        </w:tc>
        <w:tc>
          <w:tcPr>
            <w:tcW w:w="447" w:type="pct"/>
            <w:tcBorders>
              <w:top w:val="nil"/>
              <w:left w:val="nil"/>
              <w:bottom w:val="single" w:sz="4" w:space="0" w:color="auto"/>
              <w:right w:val="single" w:sz="4" w:space="0" w:color="auto"/>
            </w:tcBorders>
            <w:shd w:val="clear" w:color="auto" w:fill="auto"/>
            <w:noWrap/>
            <w:vAlign w:val="bottom"/>
            <w:hideMark/>
          </w:tcPr>
          <w:p w14:paraId="128CBB43"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8,402.2</w:t>
            </w:r>
          </w:p>
        </w:tc>
        <w:tc>
          <w:tcPr>
            <w:tcW w:w="450" w:type="pct"/>
            <w:tcBorders>
              <w:top w:val="nil"/>
              <w:left w:val="nil"/>
              <w:bottom w:val="single" w:sz="4" w:space="0" w:color="auto"/>
              <w:right w:val="single" w:sz="4" w:space="0" w:color="auto"/>
            </w:tcBorders>
            <w:shd w:val="clear" w:color="auto" w:fill="auto"/>
            <w:noWrap/>
            <w:vAlign w:val="bottom"/>
            <w:hideMark/>
          </w:tcPr>
          <w:p w14:paraId="3BF8B43C"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96.47</w:t>
            </w:r>
          </w:p>
        </w:tc>
        <w:tc>
          <w:tcPr>
            <w:tcW w:w="374" w:type="pct"/>
            <w:tcBorders>
              <w:top w:val="nil"/>
              <w:left w:val="nil"/>
              <w:bottom w:val="single" w:sz="4" w:space="0" w:color="auto"/>
              <w:right w:val="single" w:sz="4" w:space="0" w:color="auto"/>
            </w:tcBorders>
            <w:shd w:val="clear" w:color="auto" w:fill="auto"/>
            <w:noWrap/>
            <w:vAlign w:val="bottom"/>
            <w:hideMark/>
          </w:tcPr>
          <w:p w14:paraId="4F2732CB"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3.53</w:t>
            </w:r>
          </w:p>
        </w:tc>
        <w:tc>
          <w:tcPr>
            <w:tcW w:w="445" w:type="pct"/>
            <w:tcBorders>
              <w:top w:val="nil"/>
              <w:left w:val="nil"/>
              <w:bottom w:val="single" w:sz="4" w:space="0" w:color="auto"/>
              <w:right w:val="single" w:sz="4" w:space="0" w:color="auto"/>
            </w:tcBorders>
            <w:shd w:val="clear" w:color="auto" w:fill="auto"/>
            <w:noWrap/>
            <w:vAlign w:val="bottom"/>
            <w:hideMark/>
          </w:tcPr>
          <w:p w14:paraId="2DD47D26"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1,068.7</w:t>
            </w:r>
          </w:p>
        </w:tc>
        <w:tc>
          <w:tcPr>
            <w:tcW w:w="525" w:type="pct"/>
            <w:tcBorders>
              <w:top w:val="nil"/>
              <w:left w:val="nil"/>
              <w:bottom w:val="single" w:sz="4" w:space="0" w:color="auto"/>
              <w:right w:val="single" w:sz="4" w:space="0" w:color="auto"/>
            </w:tcBorders>
            <w:shd w:val="clear" w:color="auto" w:fill="auto"/>
            <w:noWrap/>
            <w:vAlign w:val="bottom"/>
            <w:hideMark/>
          </w:tcPr>
          <w:p w14:paraId="4BD1E7C1"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4,047.7</w:t>
            </w:r>
          </w:p>
        </w:tc>
        <w:tc>
          <w:tcPr>
            <w:tcW w:w="523" w:type="pct"/>
            <w:tcBorders>
              <w:top w:val="nil"/>
              <w:left w:val="nil"/>
              <w:bottom w:val="single" w:sz="4" w:space="0" w:color="auto"/>
              <w:right w:val="single" w:sz="4" w:space="0" w:color="auto"/>
            </w:tcBorders>
            <w:shd w:val="clear" w:color="auto" w:fill="auto"/>
            <w:noWrap/>
            <w:vAlign w:val="bottom"/>
            <w:hideMark/>
          </w:tcPr>
          <w:p w14:paraId="4EB4C5DB"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5,116.5</w:t>
            </w:r>
          </w:p>
        </w:tc>
        <w:tc>
          <w:tcPr>
            <w:tcW w:w="447" w:type="pct"/>
            <w:tcBorders>
              <w:top w:val="nil"/>
              <w:left w:val="nil"/>
              <w:bottom w:val="single" w:sz="4" w:space="0" w:color="auto"/>
              <w:right w:val="single" w:sz="4" w:space="0" w:color="auto"/>
            </w:tcBorders>
            <w:shd w:val="clear" w:color="auto" w:fill="auto"/>
            <w:noWrap/>
            <w:vAlign w:val="bottom"/>
            <w:hideMark/>
          </w:tcPr>
          <w:p w14:paraId="08174E3C"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20.89</w:t>
            </w:r>
          </w:p>
        </w:tc>
        <w:tc>
          <w:tcPr>
            <w:tcW w:w="446" w:type="pct"/>
            <w:tcBorders>
              <w:top w:val="nil"/>
              <w:left w:val="nil"/>
              <w:bottom w:val="single" w:sz="4" w:space="0" w:color="auto"/>
              <w:right w:val="single" w:sz="4" w:space="0" w:color="auto"/>
            </w:tcBorders>
            <w:shd w:val="clear" w:color="auto" w:fill="auto"/>
            <w:noWrap/>
            <w:vAlign w:val="bottom"/>
            <w:hideMark/>
          </w:tcPr>
          <w:p w14:paraId="012107F3"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79.11</w:t>
            </w:r>
          </w:p>
        </w:tc>
      </w:tr>
      <w:tr w:rsidR="00097064" w:rsidRPr="00BD1A8E" w14:paraId="5DE64CF2" w14:textId="77777777" w:rsidTr="00097064">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14:paraId="46D5A9DA"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2010</w:t>
            </w:r>
          </w:p>
        </w:tc>
        <w:tc>
          <w:tcPr>
            <w:tcW w:w="522" w:type="pct"/>
            <w:tcBorders>
              <w:top w:val="nil"/>
              <w:left w:val="nil"/>
              <w:bottom w:val="single" w:sz="4" w:space="0" w:color="auto"/>
              <w:right w:val="single" w:sz="4" w:space="0" w:color="auto"/>
            </w:tcBorders>
            <w:shd w:val="clear" w:color="auto" w:fill="auto"/>
            <w:noWrap/>
            <w:vAlign w:val="bottom"/>
            <w:hideMark/>
          </w:tcPr>
          <w:p w14:paraId="0DE1ED56"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11,300.5</w:t>
            </w:r>
          </w:p>
        </w:tc>
        <w:tc>
          <w:tcPr>
            <w:tcW w:w="374" w:type="pct"/>
            <w:tcBorders>
              <w:top w:val="nil"/>
              <w:left w:val="nil"/>
              <w:bottom w:val="single" w:sz="4" w:space="0" w:color="auto"/>
              <w:right w:val="single" w:sz="4" w:space="0" w:color="auto"/>
            </w:tcBorders>
            <w:shd w:val="clear" w:color="auto" w:fill="auto"/>
            <w:noWrap/>
            <w:vAlign w:val="bottom"/>
            <w:hideMark/>
          </w:tcPr>
          <w:p w14:paraId="2F5AA741"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406.2</w:t>
            </w:r>
          </w:p>
        </w:tc>
        <w:tc>
          <w:tcPr>
            <w:tcW w:w="447" w:type="pct"/>
            <w:tcBorders>
              <w:top w:val="nil"/>
              <w:left w:val="nil"/>
              <w:bottom w:val="single" w:sz="4" w:space="0" w:color="auto"/>
              <w:right w:val="single" w:sz="4" w:space="0" w:color="auto"/>
            </w:tcBorders>
            <w:shd w:val="clear" w:color="auto" w:fill="auto"/>
            <w:noWrap/>
            <w:vAlign w:val="bottom"/>
            <w:hideMark/>
          </w:tcPr>
          <w:p w14:paraId="43CF2621"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11,706.7</w:t>
            </w:r>
          </w:p>
        </w:tc>
        <w:tc>
          <w:tcPr>
            <w:tcW w:w="450" w:type="pct"/>
            <w:tcBorders>
              <w:top w:val="nil"/>
              <w:left w:val="nil"/>
              <w:bottom w:val="single" w:sz="4" w:space="0" w:color="auto"/>
              <w:right w:val="single" w:sz="4" w:space="0" w:color="auto"/>
            </w:tcBorders>
            <w:shd w:val="clear" w:color="auto" w:fill="auto"/>
            <w:noWrap/>
            <w:vAlign w:val="bottom"/>
            <w:hideMark/>
          </w:tcPr>
          <w:p w14:paraId="7CF69EB2"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96.53</w:t>
            </w:r>
          </w:p>
        </w:tc>
        <w:tc>
          <w:tcPr>
            <w:tcW w:w="374" w:type="pct"/>
            <w:tcBorders>
              <w:top w:val="nil"/>
              <w:left w:val="nil"/>
              <w:bottom w:val="single" w:sz="4" w:space="0" w:color="auto"/>
              <w:right w:val="single" w:sz="4" w:space="0" w:color="auto"/>
            </w:tcBorders>
            <w:shd w:val="clear" w:color="auto" w:fill="auto"/>
            <w:noWrap/>
            <w:vAlign w:val="bottom"/>
            <w:hideMark/>
          </w:tcPr>
          <w:p w14:paraId="1C330349"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3.47</w:t>
            </w:r>
          </w:p>
        </w:tc>
        <w:tc>
          <w:tcPr>
            <w:tcW w:w="445" w:type="pct"/>
            <w:tcBorders>
              <w:top w:val="nil"/>
              <w:left w:val="nil"/>
              <w:bottom w:val="single" w:sz="4" w:space="0" w:color="auto"/>
              <w:right w:val="single" w:sz="4" w:space="0" w:color="auto"/>
            </w:tcBorders>
            <w:shd w:val="clear" w:color="auto" w:fill="auto"/>
            <w:noWrap/>
            <w:vAlign w:val="bottom"/>
            <w:hideMark/>
          </w:tcPr>
          <w:p w14:paraId="6C11BB4B"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1,757.1</w:t>
            </w:r>
          </w:p>
        </w:tc>
        <w:tc>
          <w:tcPr>
            <w:tcW w:w="525" w:type="pct"/>
            <w:tcBorders>
              <w:top w:val="nil"/>
              <w:left w:val="nil"/>
              <w:bottom w:val="single" w:sz="4" w:space="0" w:color="auto"/>
              <w:right w:val="single" w:sz="4" w:space="0" w:color="auto"/>
            </w:tcBorders>
            <w:shd w:val="clear" w:color="auto" w:fill="auto"/>
            <w:noWrap/>
            <w:vAlign w:val="bottom"/>
            <w:hideMark/>
          </w:tcPr>
          <w:p w14:paraId="7F4B19CA"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5,857.5</w:t>
            </w:r>
          </w:p>
        </w:tc>
        <w:tc>
          <w:tcPr>
            <w:tcW w:w="523" w:type="pct"/>
            <w:tcBorders>
              <w:top w:val="nil"/>
              <w:left w:val="nil"/>
              <w:bottom w:val="single" w:sz="4" w:space="0" w:color="auto"/>
              <w:right w:val="single" w:sz="4" w:space="0" w:color="auto"/>
            </w:tcBorders>
            <w:shd w:val="clear" w:color="auto" w:fill="auto"/>
            <w:noWrap/>
            <w:vAlign w:val="bottom"/>
            <w:hideMark/>
          </w:tcPr>
          <w:p w14:paraId="7F2949CC"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7,614.7</w:t>
            </w:r>
          </w:p>
        </w:tc>
        <w:tc>
          <w:tcPr>
            <w:tcW w:w="447" w:type="pct"/>
            <w:tcBorders>
              <w:top w:val="nil"/>
              <w:left w:val="nil"/>
              <w:bottom w:val="single" w:sz="4" w:space="0" w:color="auto"/>
              <w:right w:val="single" w:sz="4" w:space="0" w:color="auto"/>
            </w:tcBorders>
            <w:shd w:val="clear" w:color="auto" w:fill="auto"/>
            <w:noWrap/>
            <w:vAlign w:val="bottom"/>
            <w:hideMark/>
          </w:tcPr>
          <w:p w14:paraId="6E011B35"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23.08</w:t>
            </w:r>
          </w:p>
        </w:tc>
        <w:tc>
          <w:tcPr>
            <w:tcW w:w="446" w:type="pct"/>
            <w:tcBorders>
              <w:top w:val="nil"/>
              <w:left w:val="nil"/>
              <w:bottom w:val="single" w:sz="4" w:space="0" w:color="auto"/>
              <w:right w:val="single" w:sz="4" w:space="0" w:color="auto"/>
            </w:tcBorders>
            <w:shd w:val="clear" w:color="auto" w:fill="auto"/>
            <w:noWrap/>
            <w:vAlign w:val="bottom"/>
            <w:hideMark/>
          </w:tcPr>
          <w:p w14:paraId="3B7DA316"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76.92</w:t>
            </w:r>
          </w:p>
        </w:tc>
      </w:tr>
      <w:tr w:rsidR="00097064" w:rsidRPr="00BD1A8E" w14:paraId="723D985B" w14:textId="77777777" w:rsidTr="00097064">
        <w:trPr>
          <w:trHeight w:val="300"/>
        </w:trPr>
        <w:tc>
          <w:tcPr>
            <w:tcW w:w="447" w:type="pct"/>
            <w:tcBorders>
              <w:top w:val="nil"/>
              <w:left w:val="single" w:sz="4" w:space="0" w:color="auto"/>
              <w:bottom w:val="single" w:sz="4" w:space="0" w:color="auto"/>
              <w:right w:val="single" w:sz="4" w:space="0" w:color="auto"/>
            </w:tcBorders>
            <w:shd w:val="clear" w:color="auto" w:fill="auto"/>
            <w:noWrap/>
            <w:vAlign w:val="bottom"/>
            <w:hideMark/>
          </w:tcPr>
          <w:p w14:paraId="6722C477"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2011</w:t>
            </w:r>
          </w:p>
        </w:tc>
        <w:tc>
          <w:tcPr>
            <w:tcW w:w="522" w:type="pct"/>
            <w:tcBorders>
              <w:top w:val="nil"/>
              <w:left w:val="nil"/>
              <w:bottom w:val="single" w:sz="4" w:space="0" w:color="auto"/>
              <w:right w:val="single" w:sz="4" w:space="0" w:color="auto"/>
            </w:tcBorders>
            <w:shd w:val="clear" w:color="auto" w:fill="auto"/>
            <w:noWrap/>
            <w:vAlign w:val="bottom"/>
            <w:hideMark/>
          </w:tcPr>
          <w:p w14:paraId="3BD8004B"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14,323.2</w:t>
            </w:r>
          </w:p>
        </w:tc>
        <w:tc>
          <w:tcPr>
            <w:tcW w:w="374" w:type="pct"/>
            <w:tcBorders>
              <w:top w:val="nil"/>
              <w:left w:val="nil"/>
              <w:bottom w:val="single" w:sz="4" w:space="0" w:color="auto"/>
              <w:right w:val="single" w:sz="4" w:space="0" w:color="auto"/>
            </w:tcBorders>
            <w:shd w:val="clear" w:color="auto" w:fill="auto"/>
            <w:noWrap/>
            <w:vAlign w:val="bottom"/>
            <w:hideMark/>
          </w:tcPr>
          <w:p w14:paraId="689008C6"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499.5</w:t>
            </w:r>
          </w:p>
        </w:tc>
        <w:tc>
          <w:tcPr>
            <w:tcW w:w="447" w:type="pct"/>
            <w:tcBorders>
              <w:top w:val="nil"/>
              <w:left w:val="nil"/>
              <w:bottom w:val="single" w:sz="4" w:space="0" w:color="auto"/>
              <w:right w:val="single" w:sz="4" w:space="0" w:color="auto"/>
            </w:tcBorders>
            <w:shd w:val="clear" w:color="auto" w:fill="auto"/>
            <w:noWrap/>
            <w:vAlign w:val="bottom"/>
            <w:hideMark/>
          </w:tcPr>
          <w:p w14:paraId="78AD715D"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14,822.6</w:t>
            </w:r>
          </w:p>
        </w:tc>
        <w:tc>
          <w:tcPr>
            <w:tcW w:w="450" w:type="pct"/>
            <w:tcBorders>
              <w:top w:val="nil"/>
              <w:left w:val="nil"/>
              <w:bottom w:val="single" w:sz="4" w:space="0" w:color="auto"/>
              <w:right w:val="single" w:sz="4" w:space="0" w:color="auto"/>
            </w:tcBorders>
            <w:shd w:val="clear" w:color="auto" w:fill="auto"/>
            <w:noWrap/>
            <w:vAlign w:val="bottom"/>
            <w:hideMark/>
          </w:tcPr>
          <w:p w14:paraId="30E2EA08"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96.63</w:t>
            </w:r>
          </w:p>
        </w:tc>
        <w:tc>
          <w:tcPr>
            <w:tcW w:w="374" w:type="pct"/>
            <w:tcBorders>
              <w:top w:val="nil"/>
              <w:left w:val="nil"/>
              <w:bottom w:val="single" w:sz="4" w:space="0" w:color="auto"/>
              <w:right w:val="single" w:sz="4" w:space="0" w:color="auto"/>
            </w:tcBorders>
            <w:shd w:val="clear" w:color="auto" w:fill="auto"/>
            <w:noWrap/>
            <w:vAlign w:val="bottom"/>
            <w:hideMark/>
          </w:tcPr>
          <w:p w14:paraId="0C390874"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3.37</w:t>
            </w:r>
          </w:p>
        </w:tc>
        <w:tc>
          <w:tcPr>
            <w:tcW w:w="445" w:type="pct"/>
            <w:tcBorders>
              <w:top w:val="nil"/>
              <w:left w:val="nil"/>
              <w:bottom w:val="single" w:sz="4" w:space="0" w:color="auto"/>
              <w:right w:val="single" w:sz="4" w:space="0" w:color="auto"/>
            </w:tcBorders>
            <w:shd w:val="clear" w:color="auto" w:fill="auto"/>
            <w:noWrap/>
            <w:vAlign w:val="bottom"/>
            <w:hideMark/>
          </w:tcPr>
          <w:p w14:paraId="030611ED"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3,043.6</w:t>
            </w:r>
          </w:p>
        </w:tc>
        <w:tc>
          <w:tcPr>
            <w:tcW w:w="525" w:type="pct"/>
            <w:tcBorders>
              <w:top w:val="nil"/>
              <w:left w:val="nil"/>
              <w:bottom w:val="single" w:sz="4" w:space="0" w:color="auto"/>
              <w:right w:val="single" w:sz="4" w:space="0" w:color="auto"/>
            </w:tcBorders>
            <w:shd w:val="clear" w:color="auto" w:fill="auto"/>
            <w:noWrap/>
            <w:vAlign w:val="bottom"/>
            <w:hideMark/>
          </w:tcPr>
          <w:p w14:paraId="1AEA6507"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7,191.6</w:t>
            </w:r>
          </w:p>
        </w:tc>
        <w:tc>
          <w:tcPr>
            <w:tcW w:w="523" w:type="pct"/>
            <w:tcBorders>
              <w:top w:val="nil"/>
              <w:left w:val="nil"/>
              <w:bottom w:val="single" w:sz="4" w:space="0" w:color="auto"/>
              <w:right w:val="single" w:sz="4" w:space="0" w:color="auto"/>
            </w:tcBorders>
            <w:shd w:val="clear" w:color="auto" w:fill="auto"/>
            <w:noWrap/>
            <w:vAlign w:val="bottom"/>
            <w:hideMark/>
          </w:tcPr>
          <w:p w14:paraId="2D326C4D"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10,235.2</w:t>
            </w:r>
          </w:p>
        </w:tc>
        <w:tc>
          <w:tcPr>
            <w:tcW w:w="447" w:type="pct"/>
            <w:tcBorders>
              <w:top w:val="nil"/>
              <w:left w:val="nil"/>
              <w:bottom w:val="single" w:sz="4" w:space="0" w:color="auto"/>
              <w:right w:val="single" w:sz="4" w:space="0" w:color="auto"/>
            </w:tcBorders>
            <w:shd w:val="clear" w:color="auto" w:fill="auto"/>
            <w:noWrap/>
            <w:vAlign w:val="bottom"/>
            <w:hideMark/>
          </w:tcPr>
          <w:p w14:paraId="02719DA5"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29.74</w:t>
            </w:r>
          </w:p>
        </w:tc>
        <w:tc>
          <w:tcPr>
            <w:tcW w:w="446" w:type="pct"/>
            <w:tcBorders>
              <w:top w:val="nil"/>
              <w:left w:val="nil"/>
              <w:bottom w:val="single" w:sz="4" w:space="0" w:color="auto"/>
              <w:right w:val="single" w:sz="4" w:space="0" w:color="auto"/>
            </w:tcBorders>
            <w:shd w:val="clear" w:color="auto" w:fill="auto"/>
            <w:noWrap/>
            <w:vAlign w:val="bottom"/>
            <w:hideMark/>
          </w:tcPr>
          <w:p w14:paraId="5BB963FC"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70.26</w:t>
            </w:r>
          </w:p>
        </w:tc>
      </w:tr>
      <w:tr w:rsidR="00097064" w:rsidRPr="00BD1A8E" w14:paraId="4FD4C04C" w14:textId="77777777" w:rsidTr="00097064">
        <w:trPr>
          <w:trHeight w:val="300"/>
        </w:trPr>
        <w:tc>
          <w:tcPr>
            <w:tcW w:w="4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ADBC9"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2012</w:t>
            </w:r>
          </w:p>
        </w:tc>
        <w:tc>
          <w:tcPr>
            <w:tcW w:w="522" w:type="pct"/>
            <w:tcBorders>
              <w:top w:val="single" w:sz="4" w:space="0" w:color="auto"/>
              <w:left w:val="nil"/>
              <w:bottom w:val="single" w:sz="4" w:space="0" w:color="auto"/>
              <w:right w:val="single" w:sz="4" w:space="0" w:color="auto"/>
            </w:tcBorders>
            <w:shd w:val="clear" w:color="auto" w:fill="auto"/>
            <w:noWrap/>
            <w:vAlign w:val="bottom"/>
            <w:hideMark/>
          </w:tcPr>
          <w:p w14:paraId="7B9E8A41"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14,260.0</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14:paraId="0C2AD075"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476.1</w:t>
            </w:r>
          </w:p>
        </w:tc>
        <w:tc>
          <w:tcPr>
            <w:tcW w:w="447" w:type="pct"/>
            <w:tcBorders>
              <w:top w:val="single" w:sz="4" w:space="0" w:color="auto"/>
              <w:left w:val="nil"/>
              <w:bottom w:val="single" w:sz="4" w:space="0" w:color="auto"/>
              <w:right w:val="single" w:sz="4" w:space="0" w:color="auto"/>
            </w:tcBorders>
            <w:shd w:val="clear" w:color="auto" w:fill="auto"/>
            <w:noWrap/>
            <w:vAlign w:val="bottom"/>
            <w:hideMark/>
          </w:tcPr>
          <w:p w14:paraId="618BE142"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14,736.1</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14:paraId="4E4D8920"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96.77</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14:paraId="0F927CE6"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3.23</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14:paraId="01CE4918"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3,064.3</w:t>
            </w:r>
          </w:p>
        </w:tc>
        <w:tc>
          <w:tcPr>
            <w:tcW w:w="525" w:type="pct"/>
            <w:tcBorders>
              <w:top w:val="single" w:sz="4" w:space="0" w:color="auto"/>
              <w:left w:val="nil"/>
              <w:bottom w:val="single" w:sz="4" w:space="0" w:color="auto"/>
              <w:right w:val="single" w:sz="4" w:space="0" w:color="auto"/>
            </w:tcBorders>
            <w:shd w:val="clear" w:color="auto" w:fill="auto"/>
            <w:noWrap/>
            <w:vAlign w:val="bottom"/>
            <w:hideMark/>
          </w:tcPr>
          <w:p w14:paraId="61D6C069"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6,020.2</w:t>
            </w:r>
          </w:p>
        </w:tc>
        <w:tc>
          <w:tcPr>
            <w:tcW w:w="523" w:type="pct"/>
            <w:tcBorders>
              <w:top w:val="single" w:sz="4" w:space="0" w:color="auto"/>
              <w:left w:val="nil"/>
              <w:bottom w:val="single" w:sz="4" w:space="0" w:color="auto"/>
              <w:right w:val="single" w:sz="4" w:space="0" w:color="auto"/>
            </w:tcBorders>
            <w:shd w:val="clear" w:color="auto" w:fill="auto"/>
            <w:noWrap/>
            <w:vAlign w:val="bottom"/>
            <w:hideMark/>
          </w:tcPr>
          <w:p w14:paraId="06A059D0"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9,084.5</w:t>
            </w:r>
          </w:p>
        </w:tc>
        <w:tc>
          <w:tcPr>
            <w:tcW w:w="447" w:type="pct"/>
            <w:tcBorders>
              <w:top w:val="single" w:sz="4" w:space="0" w:color="auto"/>
              <w:left w:val="nil"/>
              <w:bottom w:val="single" w:sz="4" w:space="0" w:color="auto"/>
              <w:right w:val="single" w:sz="4" w:space="0" w:color="auto"/>
            </w:tcBorders>
            <w:shd w:val="clear" w:color="auto" w:fill="auto"/>
            <w:noWrap/>
            <w:vAlign w:val="bottom"/>
            <w:hideMark/>
          </w:tcPr>
          <w:p w14:paraId="50A226A0"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33.73</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14:paraId="77B0AC73"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66.27</w:t>
            </w:r>
          </w:p>
        </w:tc>
      </w:tr>
      <w:tr w:rsidR="00097064" w:rsidRPr="00BD1A8E" w14:paraId="6852EE2C" w14:textId="77777777" w:rsidTr="00097064">
        <w:trPr>
          <w:trHeight w:val="300"/>
        </w:trPr>
        <w:tc>
          <w:tcPr>
            <w:tcW w:w="4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1FBA7"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2013</w:t>
            </w:r>
          </w:p>
        </w:tc>
        <w:tc>
          <w:tcPr>
            <w:tcW w:w="522" w:type="pct"/>
            <w:tcBorders>
              <w:top w:val="single" w:sz="4" w:space="0" w:color="auto"/>
              <w:left w:val="nil"/>
              <w:bottom w:val="single" w:sz="4" w:space="0" w:color="auto"/>
              <w:right w:val="single" w:sz="4" w:space="0" w:color="auto"/>
            </w:tcBorders>
            <w:shd w:val="clear" w:color="auto" w:fill="auto"/>
            <w:noWrap/>
            <w:vAlign w:val="bottom"/>
            <w:hideMark/>
          </w:tcPr>
          <w:p w14:paraId="0B7FF98E"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14131.84</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14:paraId="479585CA"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708.87</w:t>
            </w:r>
          </w:p>
        </w:tc>
        <w:tc>
          <w:tcPr>
            <w:tcW w:w="447" w:type="pct"/>
            <w:tcBorders>
              <w:top w:val="single" w:sz="4" w:space="0" w:color="auto"/>
              <w:left w:val="nil"/>
              <w:bottom w:val="single" w:sz="4" w:space="0" w:color="auto"/>
              <w:right w:val="single" w:sz="4" w:space="0" w:color="auto"/>
            </w:tcBorders>
            <w:shd w:val="clear" w:color="auto" w:fill="auto"/>
            <w:noWrap/>
            <w:vAlign w:val="bottom"/>
            <w:hideMark/>
          </w:tcPr>
          <w:p w14:paraId="4E3A81FB"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14840.71</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14:paraId="35994DBB"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95.22</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14:paraId="5547C6B7"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4.78</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14:paraId="3D9F34C5"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2429.38</w:t>
            </w:r>
          </w:p>
        </w:tc>
        <w:tc>
          <w:tcPr>
            <w:tcW w:w="525" w:type="pct"/>
            <w:tcBorders>
              <w:top w:val="single" w:sz="4" w:space="0" w:color="auto"/>
              <w:left w:val="nil"/>
              <w:bottom w:val="single" w:sz="4" w:space="0" w:color="auto"/>
              <w:right w:val="single" w:sz="4" w:space="0" w:color="auto"/>
            </w:tcBorders>
            <w:shd w:val="clear" w:color="auto" w:fill="auto"/>
            <w:noWrap/>
            <w:vAlign w:val="bottom"/>
            <w:hideMark/>
          </w:tcPr>
          <w:p w14:paraId="1FB83EB0"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6378.73</w:t>
            </w:r>
          </w:p>
        </w:tc>
        <w:tc>
          <w:tcPr>
            <w:tcW w:w="523" w:type="pct"/>
            <w:tcBorders>
              <w:top w:val="single" w:sz="4" w:space="0" w:color="auto"/>
              <w:left w:val="nil"/>
              <w:bottom w:val="single" w:sz="4" w:space="0" w:color="auto"/>
              <w:right w:val="single" w:sz="4" w:space="0" w:color="auto"/>
            </w:tcBorders>
            <w:shd w:val="clear" w:color="auto" w:fill="auto"/>
            <w:noWrap/>
            <w:vAlign w:val="bottom"/>
            <w:hideMark/>
          </w:tcPr>
          <w:p w14:paraId="7A49A699" w14:textId="77777777" w:rsidR="00FB5722" w:rsidRPr="00097064" w:rsidRDefault="00FB5722" w:rsidP="0044041A">
            <w:pPr>
              <w:spacing w:after="0" w:line="240" w:lineRule="auto"/>
              <w:jc w:val="center"/>
              <w:rPr>
                <w:rFonts w:ascii="Bookman Old Style" w:eastAsia="Times New Roman" w:hAnsi="Bookman Old Style"/>
                <w:sz w:val="20"/>
                <w:szCs w:val="20"/>
                <w:lang w:eastAsia="en-GB"/>
              </w:rPr>
            </w:pPr>
            <w:r w:rsidRPr="00097064">
              <w:rPr>
                <w:rFonts w:ascii="Bookman Old Style" w:eastAsia="Times New Roman" w:hAnsi="Bookman Old Style"/>
                <w:sz w:val="20"/>
                <w:szCs w:val="20"/>
                <w:lang w:eastAsia="en-GB"/>
              </w:rPr>
              <w:t>8808.10</w:t>
            </w:r>
          </w:p>
        </w:tc>
        <w:tc>
          <w:tcPr>
            <w:tcW w:w="447" w:type="pct"/>
            <w:tcBorders>
              <w:top w:val="single" w:sz="4" w:space="0" w:color="auto"/>
              <w:left w:val="nil"/>
              <w:bottom w:val="single" w:sz="4" w:space="0" w:color="auto"/>
              <w:right w:val="single" w:sz="4" w:space="0" w:color="auto"/>
            </w:tcBorders>
            <w:shd w:val="clear" w:color="auto" w:fill="auto"/>
            <w:noWrap/>
            <w:vAlign w:val="bottom"/>
            <w:hideMark/>
          </w:tcPr>
          <w:p w14:paraId="7689326A"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27.58</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14:paraId="08601003" w14:textId="77777777" w:rsidR="00FB5722" w:rsidRPr="00097064" w:rsidRDefault="00FB5722" w:rsidP="0044041A">
            <w:pPr>
              <w:spacing w:after="0" w:line="240" w:lineRule="auto"/>
              <w:jc w:val="center"/>
              <w:rPr>
                <w:rFonts w:ascii="Bookman Old Style" w:eastAsia="Times New Roman" w:hAnsi="Bookman Old Style"/>
                <w:color w:val="000000"/>
                <w:sz w:val="20"/>
                <w:szCs w:val="20"/>
                <w:lang w:eastAsia="en-GB"/>
              </w:rPr>
            </w:pPr>
            <w:r w:rsidRPr="00097064">
              <w:rPr>
                <w:rFonts w:ascii="Bookman Old Style" w:eastAsia="Times New Roman" w:hAnsi="Bookman Old Style"/>
                <w:color w:val="000000"/>
                <w:sz w:val="20"/>
                <w:szCs w:val="20"/>
                <w:lang w:eastAsia="en-GB"/>
              </w:rPr>
              <w:t>72.42</w:t>
            </w:r>
          </w:p>
        </w:tc>
      </w:tr>
    </w:tbl>
    <w:p w14:paraId="5087F8D5" w14:textId="77777777" w:rsidR="00FB5722" w:rsidRPr="00097064" w:rsidRDefault="00FB5722" w:rsidP="00FB5722">
      <w:pPr>
        <w:spacing w:after="0" w:line="240" w:lineRule="auto"/>
        <w:jc w:val="both"/>
        <w:rPr>
          <w:rFonts w:ascii="Bookman Old Style" w:hAnsi="Bookman Old Style"/>
          <w:b/>
          <w:i/>
          <w:sz w:val="20"/>
          <w:szCs w:val="20"/>
          <w:lang w:bidi="bn-IN"/>
        </w:rPr>
      </w:pPr>
      <w:r w:rsidRPr="00097064">
        <w:rPr>
          <w:rFonts w:ascii="Bookman Old Style" w:hAnsi="Bookman Old Style"/>
          <w:b/>
          <w:i/>
          <w:sz w:val="20"/>
          <w:szCs w:val="20"/>
          <w:lang w:bidi="bn-IN"/>
        </w:rPr>
        <w:t xml:space="preserve">Source:  computed using CBN Statistical Bulletin (online version, 2014)               </w:t>
      </w:r>
    </w:p>
    <w:p w14:paraId="0B61DDF9" w14:textId="77777777" w:rsidR="00FB5722" w:rsidRPr="00BD1A8E" w:rsidRDefault="00FB5722" w:rsidP="00FB5722">
      <w:pPr>
        <w:spacing w:after="0" w:line="240" w:lineRule="auto"/>
        <w:jc w:val="both"/>
        <w:rPr>
          <w:rFonts w:ascii="Bookman Old Style" w:hAnsi="Bookman Old Style"/>
          <w:sz w:val="24"/>
          <w:szCs w:val="24"/>
        </w:rPr>
      </w:pPr>
    </w:p>
    <w:p w14:paraId="448D3DB9" w14:textId="77777777" w:rsidR="00FB5722" w:rsidRPr="00BD1A8E" w:rsidRDefault="00FB5722" w:rsidP="00FB5722">
      <w:pPr>
        <w:spacing w:after="0" w:line="240" w:lineRule="auto"/>
        <w:jc w:val="both"/>
        <w:rPr>
          <w:rFonts w:ascii="Bookman Old Style" w:hAnsi="Bookman Old Style"/>
          <w:sz w:val="24"/>
          <w:szCs w:val="24"/>
        </w:rPr>
      </w:pPr>
      <w:r w:rsidRPr="00BD1A8E">
        <w:rPr>
          <w:rFonts w:ascii="Bookman Old Style" w:hAnsi="Bookman Old Style"/>
          <w:sz w:val="24"/>
          <w:szCs w:val="24"/>
          <w:lang w:bidi="bn-IN"/>
        </w:rPr>
        <w:t xml:space="preserve">The composition of import is quite different from that of export in the sense that while oil dominated total export, non-oil products dominated total imports. Oil import was </w:t>
      </w:r>
      <w:r w:rsidRPr="00BD1A8E">
        <w:rPr>
          <w:rFonts w:ascii="Bookman Old Style" w:hAnsi="Bookman Old Style"/>
          <w:dstrike/>
          <w:sz w:val="24"/>
          <w:szCs w:val="24"/>
          <w:lang w:bidi="bn-IN"/>
        </w:rPr>
        <w:t>N</w:t>
      </w:r>
      <w:r w:rsidRPr="00BD1A8E">
        <w:rPr>
          <w:rFonts w:ascii="Bookman Old Style" w:hAnsi="Bookman Old Style"/>
          <w:sz w:val="24"/>
          <w:szCs w:val="24"/>
          <w:lang w:bidi="bn-IN"/>
        </w:rPr>
        <w:t xml:space="preserve">220.8 billion in 2000 and constituted 22.4 percent of total imports, while non-oil import was </w:t>
      </w:r>
      <w:r w:rsidRPr="00BD1A8E">
        <w:rPr>
          <w:rFonts w:ascii="Bookman Old Style" w:hAnsi="Bookman Old Style"/>
          <w:dstrike/>
          <w:sz w:val="24"/>
          <w:szCs w:val="24"/>
          <w:lang w:bidi="bn-IN"/>
        </w:rPr>
        <w:t>N</w:t>
      </w:r>
      <w:r w:rsidRPr="00BD1A8E">
        <w:rPr>
          <w:rFonts w:ascii="Bookman Old Style" w:hAnsi="Bookman Old Style"/>
          <w:sz w:val="24"/>
          <w:szCs w:val="24"/>
          <w:lang w:bidi="bn-IN"/>
        </w:rPr>
        <w:t xml:space="preserve">764.2 billion, accounted for 77.6 percent of total imports in the same year.  Like in the case of exports, oil import was also on the increase as it rose from the value of 2000 to </w:t>
      </w:r>
      <w:r w:rsidRPr="00BD1A8E">
        <w:rPr>
          <w:rFonts w:ascii="Bookman Old Style" w:hAnsi="Bookman Old Style"/>
          <w:dstrike/>
          <w:sz w:val="24"/>
          <w:szCs w:val="24"/>
          <w:lang w:bidi="bn-IN"/>
        </w:rPr>
        <w:t>N</w:t>
      </w:r>
      <w:r w:rsidRPr="00BD1A8E">
        <w:rPr>
          <w:rFonts w:ascii="Bookman Old Style" w:hAnsi="Bookman Old Style"/>
          <w:sz w:val="24"/>
          <w:szCs w:val="24"/>
          <w:lang w:bidi="bn-IN"/>
        </w:rPr>
        <w:t xml:space="preserve">797.3 billion in 2005, while non-Oil import increased to </w:t>
      </w:r>
      <w:r w:rsidRPr="00BD1A8E">
        <w:rPr>
          <w:rFonts w:ascii="Bookman Old Style" w:hAnsi="Bookman Old Style"/>
          <w:dstrike/>
          <w:sz w:val="24"/>
          <w:szCs w:val="24"/>
          <w:lang w:bidi="bn-IN"/>
        </w:rPr>
        <w:t>N</w:t>
      </w:r>
      <w:r w:rsidRPr="00BD1A8E">
        <w:rPr>
          <w:rFonts w:ascii="Bookman Old Style" w:hAnsi="Bookman Old Style"/>
          <w:sz w:val="24"/>
          <w:szCs w:val="24"/>
          <w:lang w:bidi="bn-IN"/>
        </w:rPr>
        <w:t xml:space="preserve">2,003.6 billion.   From 2005 to 2007, the share of oil import was falling, while that of non-oil was rising.  However, the share of oil imports was on the increase from 2009 to 2012.  This suggests that during this period, the country increased its level of non-oil imports relative to oil imports.   </w:t>
      </w:r>
    </w:p>
    <w:p w14:paraId="7985B8BF" w14:textId="77777777" w:rsidR="00FB5722" w:rsidRPr="00BD1A8E" w:rsidRDefault="00FB5722" w:rsidP="00FB5722">
      <w:pPr>
        <w:spacing w:after="0" w:line="240" w:lineRule="auto"/>
        <w:jc w:val="both"/>
        <w:rPr>
          <w:rFonts w:ascii="Bookman Old Style" w:hAnsi="Bookman Old Style"/>
          <w:sz w:val="24"/>
          <w:szCs w:val="24"/>
        </w:rPr>
      </w:pPr>
    </w:p>
    <w:p w14:paraId="1A0D6FB9" w14:textId="77777777" w:rsidR="00FB5722" w:rsidRPr="00BD1A8E" w:rsidRDefault="00FB5722" w:rsidP="00FB5722">
      <w:pPr>
        <w:spacing w:after="0" w:line="240" w:lineRule="auto"/>
        <w:jc w:val="both"/>
        <w:rPr>
          <w:rFonts w:ascii="Bookman Old Style" w:hAnsi="Bookman Old Style"/>
          <w:b/>
          <w:sz w:val="24"/>
          <w:szCs w:val="24"/>
        </w:rPr>
      </w:pPr>
      <w:r w:rsidRPr="00BD1A8E">
        <w:rPr>
          <w:rFonts w:ascii="Bookman Old Style" w:hAnsi="Bookman Old Style"/>
          <w:sz w:val="24"/>
          <w:szCs w:val="24"/>
        </w:rPr>
        <w:lastRenderedPageBreak/>
        <w:t xml:space="preserve">From the above analysis, Nigeria exported more than it imported and the bulk of export was oil, while that of imports was non-oil. United States stands out as the most important market for Nigeria’s exports (Table 2.3).  In the first ten destination countries for Nigeria’s products, United States was the first, followed by India, Brazil and Netherlands while United Kingdom was the fifth destination country.  </w:t>
      </w:r>
    </w:p>
    <w:p w14:paraId="1083DB42" w14:textId="77777777" w:rsidR="00FB5722" w:rsidRPr="00BD1A8E" w:rsidRDefault="00FB5722" w:rsidP="00FB5722">
      <w:pPr>
        <w:spacing w:after="0" w:line="240" w:lineRule="auto"/>
        <w:ind w:left="1080"/>
        <w:rPr>
          <w:rFonts w:ascii="Bookman Old Style" w:hAnsi="Bookman Old Style"/>
          <w:b/>
          <w:sz w:val="24"/>
          <w:szCs w:val="24"/>
        </w:rPr>
      </w:pPr>
    </w:p>
    <w:p w14:paraId="2D7F3EA8" w14:textId="1E68954E" w:rsidR="00FB5722" w:rsidRPr="00AF6713" w:rsidRDefault="008C2E72" w:rsidP="00AF6713">
      <w:pPr>
        <w:spacing w:after="0" w:line="240" w:lineRule="auto"/>
        <w:rPr>
          <w:rFonts w:ascii="Bookman Old Style" w:hAnsi="Bookman Old Style"/>
          <w:sz w:val="20"/>
          <w:szCs w:val="20"/>
        </w:rPr>
      </w:pPr>
      <w:r>
        <w:rPr>
          <w:rFonts w:ascii="Bookman Old Style" w:hAnsi="Bookman Old Style"/>
          <w:b/>
          <w:sz w:val="20"/>
          <w:szCs w:val="20"/>
        </w:rPr>
        <w:t>Table 5.3</w:t>
      </w:r>
      <w:r w:rsidR="00FB5722" w:rsidRPr="00AF6713">
        <w:rPr>
          <w:rFonts w:ascii="Bookman Old Style" w:hAnsi="Bookman Old Style"/>
          <w:b/>
          <w:sz w:val="20"/>
          <w:szCs w:val="20"/>
        </w:rPr>
        <w:t>: Nigeria’s Export to Ten Destinations in the world (US$ million)</w:t>
      </w:r>
    </w:p>
    <w:tbl>
      <w:tblPr>
        <w:tblW w:w="5038" w:type="pct"/>
        <w:tblInd w:w="-72" w:type="dxa"/>
        <w:tblLook w:val="04A0" w:firstRow="1" w:lastRow="0" w:firstColumn="1" w:lastColumn="0" w:noHBand="0" w:noVBand="1"/>
      </w:tblPr>
      <w:tblGrid>
        <w:gridCol w:w="1303"/>
        <w:gridCol w:w="771"/>
        <w:gridCol w:w="771"/>
        <w:gridCol w:w="771"/>
        <w:gridCol w:w="807"/>
        <w:gridCol w:w="807"/>
        <w:gridCol w:w="807"/>
        <w:gridCol w:w="807"/>
        <w:gridCol w:w="807"/>
        <w:gridCol w:w="807"/>
        <w:gridCol w:w="856"/>
      </w:tblGrid>
      <w:tr w:rsidR="00FB5722" w:rsidRPr="00BD1A8E" w14:paraId="6B304837" w14:textId="77777777" w:rsidTr="0044041A">
        <w:trPr>
          <w:trHeight w:val="315"/>
        </w:trPr>
        <w:tc>
          <w:tcPr>
            <w:tcW w:w="748" w:type="pct"/>
            <w:tcBorders>
              <w:top w:val="single" w:sz="4" w:space="0" w:color="auto"/>
              <w:left w:val="single" w:sz="4" w:space="0" w:color="auto"/>
              <w:bottom w:val="single" w:sz="8" w:space="0" w:color="auto"/>
              <w:right w:val="single" w:sz="8" w:space="0" w:color="auto"/>
            </w:tcBorders>
            <w:shd w:val="clear" w:color="000000" w:fill="5D7B9D"/>
            <w:noWrap/>
            <w:vAlign w:val="bottom"/>
            <w:hideMark/>
          </w:tcPr>
          <w:p w14:paraId="0593780B" w14:textId="77777777" w:rsidR="00FB5722" w:rsidRPr="00BD1A8E" w:rsidRDefault="00FB5722" w:rsidP="0044041A">
            <w:pPr>
              <w:spacing w:after="0" w:line="240" w:lineRule="auto"/>
              <w:jc w:val="center"/>
              <w:rPr>
                <w:rFonts w:ascii="Bookman Old Style" w:eastAsia="Times New Roman" w:hAnsi="Bookman Old Style"/>
                <w:b/>
                <w:bCs/>
                <w:color w:val="FFFFFF"/>
                <w:sz w:val="20"/>
                <w:szCs w:val="20"/>
              </w:rPr>
            </w:pPr>
          </w:p>
        </w:tc>
        <w:tc>
          <w:tcPr>
            <w:tcW w:w="401" w:type="pct"/>
            <w:tcBorders>
              <w:top w:val="single" w:sz="4" w:space="0" w:color="auto"/>
              <w:left w:val="nil"/>
              <w:bottom w:val="single" w:sz="8" w:space="0" w:color="auto"/>
              <w:right w:val="single" w:sz="8" w:space="0" w:color="auto"/>
            </w:tcBorders>
            <w:shd w:val="clear" w:color="000000" w:fill="5D7B9D"/>
            <w:noWrap/>
            <w:vAlign w:val="bottom"/>
            <w:hideMark/>
          </w:tcPr>
          <w:p w14:paraId="0570FCA4" w14:textId="77777777" w:rsidR="00FB5722" w:rsidRPr="00BD1A8E" w:rsidRDefault="00FB5722" w:rsidP="0044041A">
            <w:pPr>
              <w:spacing w:after="0" w:line="240" w:lineRule="auto"/>
              <w:jc w:val="center"/>
              <w:rPr>
                <w:rFonts w:ascii="Bookman Old Style" w:eastAsia="Times New Roman" w:hAnsi="Bookman Old Style"/>
                <w:b/>
                <w:bCs/>
                <w:color w:val="FFFFFF"/>
                <w:sz w:val="20"/>
                <w:szCs w:val="20"/>
              </w:rPr>
            </w:pPr>
            <w:r w:rsidRPr="00BD1A8E">
              <w:rPr>
                <w:rFonts w:ascii="Bookman Old Style" w:eastAsia="Times New Roman" w:hAnsi="Bookman Old Style"/>
                <w:b/>
                <w:bCs/>
                <w:color w:val="FFFFFF"/>
                <w:sz w:val="20"/>
                <w:szCs w:val="20"/>
              </w:rPr>
              <w:t>2001</w:t>
            </w:r>
          </w:p>
        </w:tc>
        <w:tc>
          <w:tcPr>
            <w:tcW w:w="401" w:type="pct"/>
            <w:tcBorders>
              <w:top w:val="single" w:sz="4" w:space="0" w:color="auto"/>
              <w:left w:val="nil"/>
              <w:bottom w:val="single" w:sz="8" w:space="0" w:color="auto"/>
              <w:right w:val="single" w:sz="8" w:space="0" w:color="auto"/>
            </w:tcBorders>
            <w:shd w:val="clear" w:color="000000" w:fill="5D7B9D"/>
            <w:noWrap/>
            <w:vAlign w:val="bottom"/>
            <w:hideMark/>
          </w:tcPr>
          <w:p w14:paraId="5A98CD5C" w14:textId="77777777" w:rsidR="00FB5722" w:rsidRPr="00BD1A8E" w:rsidRDefault="00FB5722" w:rsidP="0044041A">
            <w:pPr>
              <w:spacing w:after="0" w:line="240" w:lineRule="auto"/>
              <w:jc w:val="center"/>
              <w:rPr>
                <w:rFonts w:ascii="Bookman Old Style" w:eastAsia="Times New Roman" w:hAnsi="Bookman Old Style"/>
                <w:b/>
                <w:bCs/>
                <w:color w:val="FFFFFF"/>
                <w:sz w:val="20"/>
                <w:szCs w:val="20"/>
              </w:rPr>
            </w:pPr>
            <w:r w:rsidRPr="00BD1A8E">
              <w:rPr>
                <w:rFonts w:ascii="Bookman Old Style" w:eastAsia="Times New Roman" w:hAnsi="Bookman Old Style"/>
                <w:b/>
                <w:bCs/>
                <w:color w:val="FFFFFF"/>
                <w:sz w:val="20"/>
                <w:szCs w:val="20"/>
              </w:rPr>
              <w:t>2002</w:t>
            </w:r>
          </w:p>
        </w:tc>
        <w:tc>
          <w:tcPr>
            <w:tcW w:w="401" w:type="pct"/>
            <w:tcBorders>
              <w:top w:val="single" w:sz="4" w:space="0" w:color="auto"/>
              <w:left w:val="nil"/>
              <w:bottom w:val="single" w:sz="8" w:space="0" w:color="auto"/>
              <w:right w:val="single" w:sz="8" w:space="0" w:color="auto"/>
            </w:tcBorders>
            <w:shd w:val="clear" w:color="000000" w:fill="5D7B9D"/>
            <w:noWrap/>
            <w:vAlign w:val="bottom"/>
            <w:hideMark/>
          </w:tcPr>
          <w:p w14:paraId="330B1B96" w14:textId="77777777" w:rsidR="00FB5722" w:rsidRPr="00BD1A8E" w:rsidRDefault="00FB5722" w:rsidP="0044041A">
            <w:pPr>
              <w:spacing w:after="0" w:line="240" w:lineRule="auto"/>
              <w:jc w:val="center"/>
              <w:rPr>
                <w:rFonts w:ascii="Bookman Old Style" w:eastAsia="Times New Roman" w:hAnsi="Bookman Old Style"/>
                <w:b/>
                <w:bCs/>
                <w:color w:val="FFFFFF"/>
                <w:sz w:val="20"/>
                <w:szCs w:val="20"/>
              </w:rPr>
            </w:pPr>
            <w:r w:rsidRPr="00BD1A8E">
              <w:rPr>
                <w:rFonts w:ascii="Bookman Old Style" w:eastAsia="Times New Roman" w:hAnsi="Bookman Old Style"/>
                <w:b/>
                <w:bCs/>
                <w:color w:val="FFFFFF"/>
                <w:sz w:val="20"/>
                <w:szCs w:val="20"/>
              </w:rPr>
              <w:t>2003</w:t>
            </w:r>
          </w:p>
        </w:tc>
        <w:tc>
          <w:tcPr>
            <w:tcW w:w="434" w:type="pct"/>
            <w:tcBorders>
              <w:top w:val="single" w:sz="4" w:space="0" w:color="auto"/>
              <w:left w:val="nil"/>
              <w:bottom w:val="single" w:sz="8" w:space="0" w:color="auto"/>
              <w:right w:val="single" w:sz="8" w:space="0" w:color="auto"/>
            </w:tcBorders>
            <w:shd w:val="clear" w:color="000000" w:fill="5D7B9D"/>
            <w:noWrap/>
            <w:vAlign w:val="bottom"/>
            <w:hideMark/>
          </w:tcPr>
          <w:p w14:paraId="4C2E292D" w14:textId="77777777" w:rsidR="00FB5722" w:rsidRPr="00BD1A8E" w:rsidRDefault="00FB5722" w:rsidP="0044041A">
            <w:pPr>
              <w:spacing w:after="0" w:line="240" w:lineRule="auto"/>
              <w:jc w:val="center"/>
              <w:rPr>
                <w:rFonts w:ascii="Bookman Old Style" w:eastAsia="Times New Roman" w:hAnsi="Bookman Old Style"/>
                <w:b/>
                <w:bCs/>
                <w:color w:val="FFFFFF"/>
                <w:sz w:val="20"/>
                <w:szCs w:val="20"/>
              </w:rPr>
            </w:pPr>
            <w:r w:rsidRPr="00BD1A8E">
              <w:rPr>
                <w:rFonts w:ascii="Bookman Old Style" w:eastAsia="Times New Roman" w:hAnsi="Bookman Old Style"/>
                <w:b/>
                <w:bCs/>
                <w:color w:val="FFFFFF"/>
                <w:sz w:val="20"/>
                <w:szCs w:val="20"/>
              </w:rPr>
              <w:t>2006</w:t>
            </w:r>
          </w:p>
        </w:tc>
        <w:tc>
          <w:tcPr>
            <w:tcW w:w="434" w:type="pct"/>
            <w:tcBorders>
              <w:top w:val="single" w:sz="4" w:space="0" w:color="auto"/>
              <w:left w:val="nil"/>
              <w:bottom w:val="single" w:sz="8" w:space="0" w:color="auto"/>
              <w:right w:val="single" w:sz="8" w:space="0" w:color="auto"/>
            </w:tcBorders>
            <w:shd w:val="clear" w:color="000000" w:fill="5D7B9D"/>
            <w:noWrap/>
            <w:vAlign w:val="bottom"/>
            <w:hideMark/>
          </w:tcPr>
          <w:p w14:paraId="21EE7B77" w14:textId="77777777" w:rsidR="00FB5722" w:rsidRPr="00BD1A8E" w:rsidRDefault="00FB5722" w:rsidP="0044041A">
            <w:pPr>
              <w:spacing w:after="0" w:line="240" w:lineRule="auto"/>
              <w:jc w:val="center"/>
              <w:rPr>
                <w:rFonts w:ascii="Bookman Old Style" w:eastAsia="Times New Roman" w:hAnsi="Bookman Old Style"/>
                <w:b/>
                <w:bCs/>
                <w:color w:val="FFFFFF"/>
                <w:sz w:val="20"/>
                <w:szCs w:val="20"/>
              </w:rPr>
            </w:pPr>
            <w:r w:rsidRPr="00BD1A8E">
              <w:rPr>
                <w:rFonts w:ascii="Bookman Old Style" w:eastAsia="Times New Roman" w:hAnsi="Bookman Old Style"/>
                <w:b/>
                <w:bCs/>
                <w:color w:val="FFFFFF"/>
                <w:sz w:val="20"/>
                <w:szCs w:val="20"/>
              </w:rPr>
              <w:t>2007</w:t>
            </w:r>
          </w:p>
        </w:tc>
        <w:tc>
          <w:tcPr>
            <w:tcW w:w="434" w:type="pct"/>
            <w:tcBorders>
              <w:top w:val="single" w:sz="4" w:space="0" w:color="auto"/>
              <w:left w:val="nil"/>
              <w:bottom w:val="single" w:sz="8" w:space="0" w:color="auto"/>
              <w:right w:val="single" w:sz="8" w:space="0" w:color="auto"/>
            </w:tcBorders>
            <w:shd w:val="clear" w:color="000000" w:fill="5D7B9D"/>
            <w:noWrap/>
            <w:vAlign w:val="bottom"/>
            <w:hideMark/>
          </w:tcPr>
          <w:p w14:paraId="55034F15" w14:textId="77777777" w:rsidR="00FB5722" w:rsidRPr="00BD1A8E" w:rsidRDefault="00FB5722" w:rsidP="0044041A">
            <w:pPr>
              <w:spacing w:after="0" w:line="240" w:lineRule="auto"/>
              <w:jc w:val="center"/>
              <w:rPr>
                <w:rFonts w:ascii="Bookman Old Style" w:eastAsia="Times New Roman" w:hAnsi="Bookman Old Style"/>
                <w:b/>
                <w:bCs/>
                <w:color w:val="FFFFFF"/>
                <w:sz w:val="20"/>
                <w:szCs w:val="20"/>
              </w:rPr>
            </w:pPr>
            <w:r w:rsidRPr="00BD1A8E">
              <w:rPr>
                <w:rFonts w:ascii="Bookman Old Style" w:eastAsia="Times New Roman" w:hAnsi="Bookman Old Style"/>
                <w:b/>
                <w:bCs/>
                <w:color w:val="FFFFFF"/>
                <w:sz w:val="20"/>
                <w:szCs w:val="20"/>
              </w:rPr>
              <w:t>2008</w:t>
            </w:r>
          </w:p>
        </w:tc>
        <w:tc>
          <w:tcPr>
            <w:tcW w:w="434" w:type="pct"/>
            <w:tcBorders>
              <w:top w:val="single" w:sz="4" w:space="0" w:color="auto"/>
              <w:left w:val="nil"/>
              <w:bottom w:val="single" w:sz="8" w:space="0" w:color="auto"/>
              <w:right w:val="single" w:sz="8" w:space="0" w:color="auto"/>
            </w:tcBorders>
            <w:shd w:val="clear" w:color="000000" w:fill="5D7B9D"/>
            <w:noWrap/>
            <w:vAlign w:val="bottom"/>
            <w:hideMark/>
          </w:tcPr>
          <w:p w14:paraId="7AFDC413" w14:textId="77777777" w:rsidR="00FB5722" w:rsidRPr="00BD1A8E" w:rsidRDefault="00FB5722" w:rsidP="0044041A">
            <w:pPr>
              <w:spacing w:after="0" w:line="240" w:lineRule="auto"/>
              <w:jc w:val="center"/>
              <w:rPr>
                <w:rFonts w:ascii="Bookman Old Style" w:eastAsia="Times New Roman" w:hAnsi="Bookman Old Style"/>
                <w:b/>
                <w:bCs/>
                <w:color w:val="FFFFFF"/>
                <w:sz w:val="20"/>
                <w:szCs w:val="20"/>
              </w:rPr>
            </w:pPr>
            <w:r w:rsidRPr="00BD1A8E">
              <w:rPr>
                <w:rFonts w:ascii="Bookman Old Style" w:eastAsia="Times New Roman" w:hAnsi="Bookman Old Style"/>
                <w:b/>
                <w:bCs/>
                <w:color w:val="FFFFFF"/>
                <w:sz w:val="20"/>
                <w:szCs w:val="20"/>
              </w:rPr>
              <w:t>2009</w:t>
            </w:r>
          </w:p>
        </w:tc>
        <w:tc>
          <w:tcPr>
            <w:tcW w:w="434" w:type="pct"/>
            <w:tcBorders>
              <w:top w:val="single" w:sz="4" w:space="0" w:color="auto"/>
              <w:left w:val="nil"/>
              <w:bottom w:val="single" w:sz="8" w:space="0" w:color="auto"/>
              <w:right w:val="single" w:sz="8" w:space="0" w:color="auto"/>
            </w:tcBorders>
            <w:shd w:val="clear" w:color="000000" w:fill="5D7B9D"/>
            <w:noWrap/>
            <w:vAlign w:val="bottom"/>
            <w:hideMark/>
          </w:tcPr>
          <w:p w14:paraId="7457F8DF" w14:textId="77777777" w:rsidR="00FB5722" w:rsidRPr="00BD1A8E" w:rsidRDefault="00FB5722" w:rsidP="0044041A">
            <w:pPr>
              <w:spacing w:after="0" w:line="240" w:lineRule="auto"/>
              <w:jc w:val="center"/>
              <w:rPr>
                <w:rFonts w:ascii="Bookman Old Style" w:eastAsia="Times New Roman" w:hAnsi="Bookman Old Style"/>
                <w:b/>
                <w:bCs/>
                <w:color w:val="FFFFFF"/>
                <w:sz w:val="20"/>
                <w:szCs w:val="20"/>
              </w:rPr>
            </w:pPr>
            <w:r w:rsidRPr="00BD1A8E">
              <w:rPr>
                <w:rFonts w:ascii="Bookman Old Style" w:eastAsia="Times New Roman" w:hAnsi="Bookman Old Style"/>
                <w:b/>
                <w:bCs/>
                <w:color w:val="FFFFFF"/>
                <w:sz w:val="20"/>
                <w:szCs w:val="20"/>
              </w:rPr>
              <w:t>2010</w:t>
            </w:r>
          </w:p>
        </w:tc>
        <w:tc>
          <w:tcPr>
            <w:tcW w:w="434" w:type="pct"/>
            <w:tcBorders>
              <w:top w:val="single" w:sz="4" w:space="0" w:color="auto"/>
              <w:left w:val="nil"/>
              <w:bottom w:val="single" w:sz="8" w:space="0" w:color="auto"/>
              <w:right w:val="single" w:sz="8" w:space="0" w:color="auto"/>
            </w:tcBorders>
            <w:shd w:val="clear" w:color="000000" w:fill="5D7B9D"/>
            <w:noWrap/>
            <w:vAlign w:val="bottom"/>
            <w:hideMark/>
          </w:tcPr>
          <w:p w14:paraId="6DF37979" w14:textId="77777777" w:rsidR="00FB5722" w:rsidRPr="00BD1A8E" w:rsidRDefault="00FB5722" w:rsidP="0044041A">
            <w:pPr>
              <w:spacing w:after="0" w:line="240" w:lineRule="auto"/>
              <w:jc w:val="center"/>
              <w:rPr>
                <w:rFonts w:ascii="Bookman Old Style" w:eastAsia="Times New Roman" w:hAnsi="Bookman Old Style"/>
                <w:b/>
                <w:bCs/>
                <w:color w:val="FFFFFF"/>
                <w:sz w:val="20"/>
                <w:szCs w:val="20"/>
              </w:rPr>
            </w:pPr>
            <w:r w:rsidRPr="00BD1A8E">
              <w:rPr>
                <w:rFonts w:ascii="Bookman Old Style" w:eastAsia="Times New Roman" w:hAnsi="Bookman Old Style"/>
                <w:b/>
                <w:bCs/>
                <w:color w:val="FFFFFF"/>
                <w:sz w:val="20"/>
                <w:szCs w:val="20"/>
              </w:rPr>
              <w:t>2011</w:t>
            </w:r>
          </w:p>
        </w:tc>
        <w:tc>
          <w:tcPr>
            <w:tcW w:w="446" w:type="pct"/>
            <w:tcBorders>
              <w:top w:val="single" w:sz="4" w:space="0" w:color="auto"/>
              <w:left w:val="nil"/>
              <w:bottom w:val="single" w:sz="8" w:space="0" w:color="auto"/>
              <w:right w:val="single" w:sz="4" w:space="0" w:color="auto"/>
            </w:tcBorders>
            <w:shd w:val="clear" w:color="000000" w:fill="5D7B9D"/>
            <w:noWrap/>
            <w:vAlign w:val="bottom"/>
            <w:hideMark/>
          </w:tcPr>
          <w:p w14:paraId="3087F78A" w14:textId="77777777" w:rsidR="00FB5722" w:rsidRPr="00BD1A8E" w:rsidRDefault="00FB5722" w:rsidP="0044041A">
            <w:pPr>
              <w:spacing w:after="0" w:line="240" w:lineRule="auto"/>
              <w:jc w:val="center"/>
              <w:rPr>
                <w:rFonts w:ascii="Bookman Old Style" w:eastAsia="Times New Roman" w:hAnsi="Bookman Old Style"/>
                <w:b/>
                <w:bCs/>
                <w:color w:val="FFFFFF"/>
                <w:sz w:val="20"/>
                <w:szCs w:val="20"/>
              </w:rPr>
            </w:pPr>
            <w:r w:rsidRPr="00BD1A8E">
              <w:rPr>
                <w:rFonts w:ascii="Bookman Old Style" w:eastAsia="Times New Roman" w:hAnsi="Bookman Old Style"/>
                <w:b/>
                <w:bCs/>
                <w:color w:val="FFFFFF"/>
                <w:sz w:val="20"/>
                <w:szCs w:val="20"/>
              </w:rPr>
              <w:t>2012</w:t>
            </w:r>
          </w:p>
        </w:tc>
      </w:tr>
      <w:tr w:rsidR="00FB5722" w:rsidRPr="00BD1A8E" w14:paraId="106DB572" w14:textId="77777777" w:rsidTr="0044041A">
        <w:trPr>
          <w:trHeight w:val="315"/>
        </w:trPr>
        <w:tc>
          <w:tcPr>
            <w:tcW w:w="748" w:type="pct"/>
            <w:tcBorders>
              <w:top w:val="single" w:sz="8" w:space="0" w:color="auto"/>
              <w:left w:val="single" w:sz="4" w:space="0" w:color="auto"/>
              <w:bottom w:val="single" w:sz="8" w:space="0" w:color="auto"/>
              <w:right w:val="single" w:sz="8" w:space="0" w:color="auto"/>
            </w:tcBorders>
            <w:shd w:val="clear" w:color="000000" w:fill="F7F6F3"/>
            <w:noWrap/>
            <w:vAlign w:val="bottom"/>
            <w:hideMark/>
          </w:tcPr>
          <w:p w14:paraId="364F5314" w14:textId="77777777" w:rsidR="00FB5722" w:rsidRPr="00BD1A8E" w:rsidRDefault="00FB5722" w:rsidP="0044041A">
            <w:pPr>
              <w:spacing w:after="0" w:line="240" w:lineRule="auto"/>
              <w:rPr>
                <w:rFonts w:ascii="Bookman Old Style" w:eastAsia="Times New Roman" w:hAnsi="Bookman Old Style"/>
                <w:b/>
                <w:bCs/>
                <w:color w:val="FF0000"/>
                <w:sz w:val="20"/>
                <w:szCs w:val="20"/>
              </w:rPr>
            </w:pPr>
            <w:r w:rsidRPr="00BD1A8E">
              <w:rPr>
                <w:rFonts w:ascii="Bookman Old Style" w:eastAsia="Times New Roman" w:hAnsi="Bookman Old Style"/>
                <w:b/>
                <w:bCs/>
                <w:color w:val="FF0000"/>
                <w:sz w:val="20"/>
                <w:szCs w:val="20"/>
              </w:rPr>
              <w:t xml:space="preserve">United States </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1C32EBBA" w14:textId="77777777" w:rsidR="00FB5722" w:rsidRPr="00BD1A8E" w:rsidRDefault="00FB5722" w:rsidP="0044041A">
            <w:pPr>
              <w:spacing w:after="0" w:line="240" w:lineRule="auto"/>
              <w:jc w:val="right"/>
              <w:rPr>
                <w:rFonts w:ascii="Bookman Old Style" w:eastAsia="Times New Roman" w:hAnsi="Bookman Old Style"/>
                <w:b/>
                <w:bCs/>
                <w:color w:val="FF0000"/>
                <w:sz w:val="20"/>
                <w:szCs w:val="20"/>
              </w:rPr>
            </w:pPr>
            <w:r w:rsidRPr="00BD1A8E">
              <w:rPr>
                <w:rFonts w:ascii="Bookman Old Style" w:eastAsia="Times New Roman" w:hAnsi="Bookman Old Style"/>
                <w:b/>
                <w:bCs/>
                <w:color w:val="FF0000"/>
                <w:sz w:val="20"/>
                <w:szCs w:val="20"/>
              </w:rPr>
              <w:t>7320.8</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688A00A8" w14:textId="77777777" w:rsidR="00FB5722" w:rsidRPr="00BD1A8E" w:rsidRDefault="00FB5722" w:rsidP="0044041A">
            <w:pPr>
              <w:spacing w:after="0" w:line="240" w:lineRule="auto"/>
              <w:jc w:val="right"/>
              <w:rPr>
                <w:rFonts w:ascii="Bookman Old Style" w:eastAsia="Times New Roman" w:hAnsi="Bookman Old Style"/>
                <w:b/>
                <w:bCs/>
                <w:color w:val="FF0000"/>
                <w:sz w:val="20"/>
                <w:szCs w:val="20"/>
              </w:rPr>
            </w:pPr>
            <w:r w:rsidRPr="00BD1A8E">
              <w:rPr>
                <w:rFonts w:ascii="Bookman Old Style" w:eastAsia="Times New Roman" w:hAnsi="Bookman Old Style"/>
                <w:b/>
                <w:bCs/>
                <w:color w:val="FF0000"/>
                <w:sz w:val="20"/>
                <w:szCs w:val="20"/>
              </w:rPr>
              <w:t>5830</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11480ED1" w14:textId="77777777" w:rsidR="00FB5722" w:rsidRPr="00BD1A8E" w:rsidRDefault="00FB5722" w:rsidP="0044041A">
            <w:pPr>
              <w:spacing w:after="0" w:line="240" w:lineRule="auto"/>
              <w:jc w:val="right"/>
              <w:rPr>
                <w:rFonts w:ascii="Bookman Old Style" w:eastAsia="Times New Roman" w:hAnsi="Bookman Old Style"/>
                <w:b/>
                <w:bCs/>
                <w:color w:val="FF0000"/>
                <w:sz w:val="20"/>
                <w:szCs w:val="20"/>
              </w:rPr>
            </w:pPr>
            <w:r w:rsidRPr="00BD1A8E">
              <w:rPr>
                <w:rFonts w:ascii="Bookman Old Style" w:eastAsia="Times New Roman" w:hAnsi="Bookman Old Style"/>
                <w:b/>
                <w:bCs/>
                <w:color w:val="FF0000"/>
                <w:sz w:val="20"/>
                <w:szCs w:val="20"/>
              </w:rPr>
              <w:t>9211.3</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146D1CFA" w14:textId="77777777" w:rsidR="00FB5722" w:rsidRPr="00BD1A8E" w:rsidRDefault="00FB5722" w:rsidP="0044041A">
            <w:pPr>
              <w:spacing w:after="0" w:line="240" w:lineRule="auto"/>
              <w:jc w:val="right"/>
              <w:rPr>
                <w:rFonts w:ascii="Bookman Old Style" w:eastAsia="Times New Roman" w:hAnsi="Bookman Old Style"/>
                <w:b/>
                <w:bCs/>
                <w:color w:val="FF0000"/>
                <w:sz w:val="20"/>
                <w:szCs w:val="20"/>
              </w:rPr>
            </w:pPr>
            <w:r w:rsidRPr="00BD1A8E">
              <w:rPr>
                <w:rFonts w:ascii="Bookman Old Style" w:eastAsia="Times New Roman" w:hAnsi="Bookman Old Style"/>
                <w:b/>
                <w:bCs/>
                <w:color w:val="FF0000"/>
                <w:sz w:val="20"/>
                <w:szCs w:val="20"/>
              </w:rPr>
              <w:t>26656.5</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38FD6D60" w14:textId="77777777" w:rsidR="00FB5722" w:rsidRPr="00BD1A8E" w:rsidRDefault="00FB5722" w:rsidP="0044041A">
            <w:pPr>
              <w:spacing w:after="0" w:line="240" w:lineRule="auto"/>
              <w:jc w:val="right"/>
              <w:rPr>
                <w:rFonts w:ascii="Bookman Old Style" w:eastAsia="Times New Roman" w:hAnsi="Bookman Old Style"/>
                <w:b/>
                <w:bCs/>
                <w:color w:val="FF0000"/>
                <w:sz w:val="20"/>
                <w:szCs w:val="20"/>
              </w:rPr>
            </w:pPr>
            <w:r w:rsidRPr="00BD1A8E">
              <w:rPr>
                <w:rFonts w:ascii="Bookman Old Style" w:eastAsia="Times New Roman" w:hAnsi="Bookman Old Style"/>
                <w:b/>
                <w:bCs/>
                <w:color w:val="FF0000"/>
                <w:sz w:val="20"/>
                <w:szCs w:val="20"/>
              </w:rPr>
              <w:t>25157.3</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6D59CB72" w14:textId="77777777" w:rsidR="00FB5722" w:rsidRPr="00BD1A8E" w:rsidRDefault="00FB5722" w:rsidP="0044041A">
            <w:pPr>
              <w:spacing w:after="0" w:line="240" w:lineRule="auto"/>
              <w:jc w:val="right"/>
              <w:rPr>
                <w:rFonts w:ascii="Bookman Old Style" w:eastAsia="Times New Roman" w:hAnsi="Bookman Old Style"/>
                <w:b/>
                <w:bCs/>
                <w:color w:val="FF0000"/>
                <w:sz w:val="20"/>
                <w:szCs w:val="20"/>
              </w:rPr>
            </w:pPr>
            <w:r w:rsidRPr="00BD1A8E">
              <w:rPr>
                <w:rFonts w:ascii="Bookman Old Style" w:eastAsia="Times New Roman" w:hAnsi="Bookman Old Style"/>
                <w:b/>
                <w:bCs/>
                <w:color w:val="FF0000"/>
                <w:sz w:val="20"/>
                <w:szCs w:val="20"/>
              </w:rPr>
              <w:t>34758.3</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28DED0DF" w14:textId="77777777" w:rsidR="00FB5722" w:rsidRPr="00BD1A8E" w:rsidRDefault="00FB5722" w:rsidP="0044041A">
            <w:pPr>
              <w:spacing w:after="0" w:line="240" w:lineRule="auto"/>
              <w:jc w:val="right"/>
              <w:rPr>
                <w:rFonts w:ascii="Bookman Old Style" w:eastAsia="Times New Roman" w:hAnsi="Bookman Old Style"/>
                <w:b/>
                <w:bCs/>
                <w:color w:val="FF0000"/>
                <w:sz w:val="20"/>
                <w:szCs w:val="20"/>
              </w:rPr>
            </w:pPr>
            <w:r w:rsidRPr="00BD1A8E">
              <w:rPr>
                <w:rFonts w:ascii="Bookman Old Style" w:eastAsia="Times New Roman" w:hAnsi="Bookman Old Style"/>
                <w:b/>
                <w:bCs/>
                <w:color w:val="FF0000"/>
                <w:sz w:val="20"/>
                <w:szCs w:val="20"/>
              </w:rPr>
              <w:t>13618.2</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06FFC99E" w14:textId="77777777" w:rsidR="00FB5722" w:rsidRPr="00BD1A8E" w:rsidRDefault="00FB5722" w:rsidP="0044041A">
            <w:pPr>
              <w:spacing w:after="0" w:line="240" w:lineRule="auto"/>
              <w:jc w:val="right"/>
              <w:rPr>
                <w:rFonts w:ascii="Bookman Old Style" w:eastAsia="Times New Roman" w:hAnsi="Bookman Old Style"/>
                <w:b/>
                <w:bCs/>
                <w:color w:val="FF0000"/>
                <w:sz w:val="20"/>
                <w:szCs w:val="20"/>
              </w:rPr>
            </w:pPr>
            <w:r w:rsidRPr="00BD1A8E">
              <w:rPr>
                <w:rFonts w:ascii="Bookman Old Style" w:eastAsia="Times New Roman" w:hAnsi="Bookman Old Style"/>
                <w:b/>
                <w:bCs/>
                <w:color w:val="FF0000"/>
                <w:sz w:val="20"/>
                <w:szCs w:val="20"/>
              </w:rPr>
              <w:t>29755.9</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1DE65445" w14:textId="77777777" w:rsidR="00FB5722" w:rsidRPr="00BD1A8E" w:rsidRDefault="00FB5722" w:rsidP="0044041A">
            <w:pPr>
              <w:spacing w:after="0" w:line="240" w:lineRule="auto"/>
              <w:jc w:val="right"/>
              <w:rPr>
                <w:rFonts w:ascii="Bookman Old Style" w:eastAsia="Times New Roman" w:hAnsi="Bookman Old Style"/>
                <w:b/>
                <w:bCs/>
                <w:color w:val="FF0000"/>
                <w:sz w:val="20"/>
                <w:szCs w:val="20"/>
              </w:rPr>
            </w:pPr>
            <w:r w:rsidRPr="00BD1A8E">
              <w:rPr>
                <w:rFonts w:ascii="Bookman Old Style" w:eastAsia="Times New Roman" w:hAnsi="Bookman Old Style"/>
                <w:b/>
                <w:bCs/>
                <w:color w:val="FF0000"/>
                <w:sz w:val="20"/>
                <w:szCs w:val="20"/>
              </w:rPr>
              <w:t>28326.6</w:t>
            </w:r>
          </w:p>
        </w:tc>
        <w:tc>
          <w:tcPr>
            <w:tcW w:w="446" w:type="pct"/>
            <w:tcBorders>
              <w:top w:val="single" w:sz="8" w:space="0" w:color="auto"/>
              <w:left w:val="nil"/>
              <w:bottom w:val="single" w:sz="8" w:space="0" w:color="auto"/>
              <w:right w:val="single" w:sz="4" w:space="0" w:color="auto"/>
            </w:tcBorders>
            <w:shd w:val="clear" w:color="auto" w:fill="auto"/>
            <w:noWrap/>
            <w:vAlign w:val="bottom"/>
            <w:hideMark/>
          </w:tcPr>
          <w:p w14:paraId="283B9271" w14:textId="77777777" w:rsidR="00FB5722" w:rsidRPr="00BD1A8E" w:rsidRDefault="00FB5722" w:rsidP="0044041A">
            <w:pPr>
              <w:spacing w:after="0" w:line="240" w:lineRule="auto"/>
              <w:jc w:val="right"/>
              <w:rPr>
                <w:rFonts w:ascii="Bookman Old Style" w:eastAsia="Times New Roman" w:hAnsi="Bookman Old Style"/>
                <w:b/>
                <w:bCs/>
                <w:color w:val="FF0000"/>
                <w:sz w:val="20"/>
                <w:szCs w:val="20"/>
              </w:rPr>
            </w:pPr>
            <w:r w:rsidRPr="00BD1A8E">
              <w:rPr>
                <w:rFonts w:ascii="Bookman Old Style" w:eastAsia="Times New Roman" w:hAnsi="Bookman Old Style"/>
                <w:b/>
                <w:bCs/>
                <w:color w:val="FF0000"/>
                <w:sz w:val="20"/>
                <w:szCs w:val="20"/>
              </w:rPr>
              <w:t>24139.3</w:t>
            </w:r>
          </w:p>
        </w:tc>
      </w:tr>
      <w:tr w:rsidR="00FB5722" w:rsidRPr="00BD1A8E" w14:paraId="2A33C68E" w14:textId="77777777" w:rsidTr="0044041A">
        <w:trPr>
          <w:trHeight w:val="315"/>
        </w:trPr>
        <w:tc>
          <w:tcPr>
            <w:tcW w:w="748" w:type="pct"/>
            <w:tcBorders>
              <w:top w:val="single" w:sz="8" w:space="0" w:color="auto"/>
              <w:left w:val="single" w:sz="4" w:space="0" w:color="auto"/>
              <w:bottom w:val="single" w:sz="8" w:space="0" w:color="auto"/>
              <w:right w:val="single" w:sz="8" w:space="0" w:color="auto"/>
            </w:tcBorders>
            <w:shd w:val="clear" w:color="000000" w:fill="FFFFFF"/>
            <w:noWrap/>
            <w:vAlign w:val="bottom"/>
            <w:hideMark/>
          </w:tcPr>
          <w:p w14:paraId="5BD69953" w14:textId="77777777" w:rsidR="00FB5722" w:rsidRPr="00BD1A8E" w:rsidRDefault="00FB5722" w:rsidP="0044041A">
            <w:pPr>
              <w:spacing w:after="0" w:line="240" w:lineRule="auto"/>
              <w:rPr>
                <w:rFonts w:ascii="Bookman Old Style" w:eastAsia="Times New Roman" w:hAnsi="Bookman Old Style"/>
                <w:color w:val="333333"/>
                <w:sz w:val="20"/>
                <w:szCs w:val="20"/>
              </w:rPr>
            </w:pPr>
            <w:r w:rsidRPr="00BD1A8E">
              <w:rPr>
                <w:rFonts w:ascii="Bookman Old Style" w:eastAsia="Times New Roman" w:hAnsi="Bookman Old Style"/>
                <w:color w:val="333333"/>
                <w:sz w:val="20"/>
                <w:szCs w:val="20"/>
              </w:rPr>
              <w:t>India</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52C4E6DC"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2083.3</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66D95A5D"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2160.9</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3B6C96D3"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2393.4</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4FE2EBDA"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5507.5</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4F7EE3CF"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4398.9</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51F65F54"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7871.5</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73B3FF44"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4768.6</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5B54C72B"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9068.5</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5E699303"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12790</w:t>
            </w:r>
          </w:p>
        </w:tc>
        <w:tc>
          <w:tcPr>
            <w:tcW w:w="446" w:type="pct"/>
            <w:tcBorders>
              <w:top w:val="single" w:sz="8" w:space="0" w:color="auto"/>
              <w:left w:val="nil"/>
              <w:bottom w:val="single" w:sz="8" w:space="0" w:color="auto"/>
              <w:right w:val="single" w:sz="4" w:space="0" w:color="auto"/>
            </w:tcBorders>
            <w:shd w:val="clear" w:color="auto" w:fill="auto"/>
            <w:noWrap/>
            <w:vAlign w:val="bottom"/>
            <w:hideMark/>
          </w:tcPr>
          <w:p w14:paraId="1339C47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15895.2</w:t>
            </w:r>
          </w:p>
        </w:tc>
      </w:tr>
      <w:tr w:rsidR="00FB5722" w:rsidRPr="00BD1A8E" w14:paraId="61139DBC" w14:textId="77777777" w:rsidTr="0044041A">
        <w:trPr>
          <w:trHeight w:val="315"/>
        </w:trPr>
        <w:tc>
          <w:tcPr>
            <w:tcW w:w="748" w:type="pct"/>
            <w:tcBorders>
              <w:top w:val="single" w:sz="8" w:space="0" w:color="auto"/>
              <w:left w:val="single" w:sz="4" w:space="0" w:color="auto"/>
              <w:bottom w:val="single" w:sz="8" w:space="0" w:color="auto"/>
              <w:right w:val="single" w:sz="8" w:space="0" w:color="auto"/>
            </w:tcBorders>
            <w:shd w:val="clear" w:color="000000" w:fill="F7F6F3"/>
            <w:noWrap/>
            <w:vAlign w:val="bottom"/>
            <w:hideMark/>
          </w:tcPr>
          <w:p w14:paraId="1F54F294" w14:textId="77777777" w:rsidR="00FB5722" w:rsidRPr="00BD1A8E" w:rsidRDefault="00FB5722" w:rsidP="0044041A">
            <w:pPr>
              <w:spacing w:after="0" w:line="240" w:lineRule="auto"/>
              <w:rPr>
                <w:rFonts w:ascii="Bookman Old Style" w:eastAsia="Times New Roman" w:hAnsi="Bookman Old Style"/>
                <w:color w:val="333333"/>
                <w:sz w:val="20"/>
                <w:szCs w:val="20"/>
              </w:rPr>
            </w:pPr>
            <w:r w:rsidRPr="00BD1A8E">
              <w:rPr>
                <w:rFonts w:ascii="Bookman Old Style" w:eastAsia="Times New Roman" w:hAnsi="Bookman Old Style"/>
                <w:color w:val="333333"/>
                <w:sz w:val="20"/>
                <w:szCs w:val="20"/>
              </w:rPr>
              <w:t>Brazil</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18EAEC10"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1051.3</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076EE28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1540.9</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43F612AA"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1636.8</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5236DC9F"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2503.9</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1DBAA9F0"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3459.5</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1D161E6D"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5308</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749A04F3"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3986.6</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53BCD7CF"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6042</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0EB01205"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10554.8</w:t>
            </w:r>
          </w:p>
        </w:tc>
        <w:tc>
          <w:tcPr>
            <w:tcW w:w="446" w:type="pct"/>
            <w:tcBorders>
              <w:top w:val="single" w:sz="8" w:space="0" w:color="auto"/>
              <w:left w:val="nil"/>
              <w:bottom w:val="single" w:sz="8" w:space="0" w:color="auto"/>
              <w:right w:val="single" w:sz="4" w:space="0" w:color="auto"/>
            </w:tcBorders>
            <w:shd w:val="clear" w:color="auto" w:fill="auto"/>
            <w:noWrap/>
            <w:vAlign w:val="bottom"/>
            <w:hideMark/>
          </w:tcPr>
          <w:p w14:paraId="13AFF9EC"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10791.5</w:t>
            </w:r>
          </w:p>
        </w:tc>
      </w:tr>
      <w:tr w:rsidR="00FB5722" w:rsidRPr="00BD1A8E" w14:paraId="23ED3294" w14:textId="77777777" w:rsidTr="0044041A">
        <w:trPr>
          <w:trHeight w:val="315"/>
        </w:trPr>
        <w:tc>
          <w:tcPr>
            <w:tcW w:w="748" w:type="pct"/>
            <w:tcBorders>
              <w:top w:val="single" w:sz="8" w:space="0" w:color="auto"/>
              <w:left w:val="single" w:sz="4" w:space="0" w:color="auto"/>
              <w:bottom w:val="single" w:sz="8" w:space="0" w:color="auto"/>
              <w:right w:val="single" w:sz="8" w:space="0" w:color="auto"/>
            </w:tcBorders>
            <w:shd w:val="clear" w:color="000000" w:fill="FFFFFF"/>
            <w:noWrap/>
            <w:vAlign w:val="bottom"/>
            <w:hideMark/>
          </w:tcPr>
          <w:p w14:paraId="48972EAE" w14:textId="77777777" w:rsidR="00FB5722" w:rsidRPr="00BD1A8E" w:rsidRDefault="00FB5722" w:rsidP="0044041A">
            <w:pPr>
              <w:spacing w:after="0" w:line="240" w:lineRule="auto"/>
              <w:rPr>
                <w:rFonts w:ascii="Bookman Old Style" w:eastAsia="Times New Roman" w:hAnsi="Bookman Old Style"/>
                <w:color w:val="333333"/>
                <w:sz w:val="20"/>
                <w:szCs w:val="20"/>
              </w:rPr>
            </w:pPr>
            <w:r w:rsidRPr="00BD1A8E">
              <w:rPr>
                <w:rFonts w:ascii="Bookman Old Style" w:eastAsia="Times New Roman" w:hAnsi="Bookman Old Style"/>
                <w:color w:val="333333"/>
                <w:sz w:val="20"/>
                <w:szCs w:val="20"/>
              </w:rPr>
              <w:t>Netherlands</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6AE6ACF0"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364.8</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2E856A53"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288.7</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4F4CC4CC"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535.4</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4F26AD5C"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1528.4</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19D587CD"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174.7</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2FC79419"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3295.1</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168947A5"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1339.5</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2B8E4023"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3936.5</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0B3F453A"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2675</w:t>
            </w:r>
          </w:p>
        </w:tc>
        <w:tc>
          <w:tcPr>
            <w:tcW w:w="446" w:type="pct"/>
            <w:tcBorders>
              <w:top w:val="single" w:sz="8" w:space="0" w:color="auto"/>
              <w:left w:val="nil"/>
              <w:bottom w:val="single" w:sz="8" w:space="0" w:color="auto"/>
              <w:right w:val="single" w:sz="4" w:space="0" w:color="auto"/>
            </w:tcBorders>
            <w:shd w:val="clear" w:color="auto" w:fill="auto"/>
            <w:noWrap/>
            <w:vAlign w:val="bottom"/>
            <w:hideMark/>
          </w:tcPr>
          <w:p w14:paraId="154F72A0"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9957.6</w:t>
            </w:r>
          </w:p>
        </w:tc>
      </w:tr>
      <w:tr w:rsidR="00FB5722" w:rsidRPr="00BD1A8E" w14:paraId="44B0E521" w14:textId="77777777" w:rsidTr="0044041A">
        <w:trPr>
          <w:trHeight w:val="315"/>
        </w:trPr>
        <w:tc>
          <w:tcPr>
            <w:tcW w:w="748" w:type="pct"/>
            <w:tcBorders>
              <w:top w:val="single" w:sz="8" w:space="0" w:color="auto"/>
              <w:left w:val="single" w:sz="4" w:space="0" w:color="auto"/>
              <w:bottom w:val="single" w:sz="8" w:space="0" w:color="auto"/>
              <w:right w:val="single" w:sz="8" w:space="0" w:color="auto"/>
            </w:tcBorders>
            <w:shd w:val="clear" w:color="000000" w:fill="F7F6F3"/>
            <w:noWrap/>
            <w:vAlign w:val="bottom"/>
            <w:hideMark/>
          </w:tcPr>
          <w:p w14:paraId="5DBA120F" w14:textId="77777777" w:rsidR="00FB5722" w:rsidRPr="00BD1A8E" w:rsidRDefault="00FB5722" w:rsidP="0044041A">
            <w:pPr>
              <w:spacing w:after="0" w:line="240" w:lineRule="auto"/>
              <w:rPr>
                <w:rFonts w:ascii="Bookman Old Style" w:eastAsia="Times New Roman" w:hAnsi="Bookman Old Style"/>
                <w:color w:val="333333"/>
                <w:sz w:val="20"/>
                <w:szCs w:val="20"/>
              </w:rPr>
            </w:pPr>
            <w:r w:rsidRPr="00BD1A8E">
              <w:rPr>
                <w:rFonts w:ascii="Bookman Old Style" w:eastAsia="Times New Roman" w:hAnsi="Bookman Old Style"/>
                <w:color w:val="333333"/>
                <w:sz w:val="20"/>
                <w:szCs w:val="20"/>
              </w:rPr>
              <w:t>United Kingdom</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4653AF6D"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44.8</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137DCA9B"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10.7</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5BD26643"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96.2</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31A9FCE5"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31.9</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6157ADE3"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283.3</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7BB6CF5A"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1341.7</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2F3DB37F"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1052.2</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6D1BD617"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1267.4</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5FF13115"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7809.1</w:t>
            </w:r>
          </w:p>
        </w:tc>
        <w:tc>
          <w:tcPr>
            <w:tcW w:w="446" w:type="pct"/>
            <w:tcBorders>
              <w:top w:val="single" w:sz="8" w:space="0" w:color="auto"/>
              <w:left w:val="nil"/>
              <w:bottom w:val="single" w:sz="8" w:space="0" w:color="auto"/>
              <w:right w:val="single" w:sz="4" w:space="0" w:color="auto"/>
            </w:tcBorders>
            <w:shd w:val="clear" w:color="auto" w:fill="auto"/>
            <w:noWrap/>
            <w:vAlign w:val="bottom"/>
            <w:hideMark/>
          </w:tcPr>
          <w:p w14:paraId="42F4CED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9042</w:t>
            </w:r>
          </w:p>
        </w:tc>
      </w:tr>
      <w:tr w:rsidR="00FB5722" w:rsidRPr="00BD1A8E" w14:paraId="262430D2" w14:textId="77777777" w:rsidTr="0044041A">
        <w:trPr>
          <w:trHeight w:val="315"/>
        </w:trPr>
        <w:tc>
          <w:tcPr>
            <w:tcW w:w="748" w:type="pct"/>
            <w:tcBorders>
              <w:top w:val="single" w:sz="8" w:space="0" w:color="auto"/>
              <w:left w:val="single" w:sz="4" w:space="0" w:color="auto"/>
              <w:bottom w:val="single" w:sz="8" w:space="0" w:color="auto"/>
              <w:right w:val="single" w:sz="8" w:space="0" w:color="auto"/>
            </w:tcBorders>
            <w:shd w:val="clear" w:color="000000" w:fill="FFFFFF"/>
            <w:noWrap/>
            <w:vAlign w:val="bottom"/>
            <w:hideMark/>
          </w:tcPr>
          <w:p w14:paraId="5152EB98" w14:textId="77777777" w:rsidR="00FB5722" w:rsidRPr="00BD1A8E" w:rsidRDefault="00FB5722" w:rsidP="0044041A">
            <w:pPr>
              <w:spacing w:after="0" w:line="240" w:lineRule="auto"/>
              <w:rPr>
                <w:rFonts w:ascii="Bookman Old Style" w:eastAsia="Times New Roman" w:hAnsi="Bookman Old Style"/>
                <w:color w:val="333333"/>
                <w:sz w:val="20"/>
                <w:szCs w:val="20"/>
              </w:rPr>
            </w:pPr>
            <w:r w:rsidRPr="00BD1A8E">
              <w:rPr>
                <w:rFonts w:ascii="Bookman Old Style" w:eastAsia="Times New Roman" w:hAnsi="Bookman Old Style"/>
                <w:color w:val="333333"/>
                <w:sz w:val="20"/>
                <w:szCs w:val="20"/>
              </w:rPr>
              <w:t>Italy</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7525006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854</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278E707A"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722.9</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1E7DBD2F"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688</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58CF64C7"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1469.1</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275A02A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584.2</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4325A5A0"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2687.8</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164FD1DB"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2080.2</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0F327329"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3048.7</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1D78B301"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6404.7</w:t>
            </w:r>
          </w:p>
        </w:tc>
        <w:tc>
          <w:tcPr>
            <w:tcW w:w="446" w:type="pct"/>
            <w:tcBorders>
              <w:top w:val="single" w:sz="8" w:space="0" w:color="auto"/>
              <w:left w:val="nil"/>
              <w:bottom w:val="single" w:sz="8" w:space="0" w:color="auto"/>
              <w:right w:val="single" w:sz="4" w:space="0" w:color="auto"/>
            </w:tcBorders>
            <w:shd w:val="clear" w:color="auto" w:fill="auto"/>
            <w:noWrap/>
            <w:vAlign w:val="bottom"/>
            <w:hideMark/>
          </w:tcPr>
          <w:p w14:paraId="3A77EF4D"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8796.8</w:t>
            </w:r>
          </w:p>
        </w:tc>
      </w:tr>
      <w:tr w:rsidR="00FB5722" w:rsidRPr="00BD1A8E" w14:paraId="1CAF4F72" w14:textId="77777777" w:rsidTr="0044041A">
        <w:trPr>
          <w:trHeight w:val="315"/>
        </w:trPr>
        <w:tc>
          <w:tcPr>
            <w:tcW w:w="748" w:type="pct"/>
            <w:tcBorders>
              <w:top w:val="single" w:sz="8" w:space="0" w:color="auto"/>
              <w:left w:val="single" w:sz="4" w:space="0" w:color="auto"/>
              <w:bottom w:val="single" w:sz="8" w:space="0" w:color="auto"/>
              <w:right w:val="single" w:sz="8" w:space="0" w:color="auto"/>
            </w:tcBorders>
            <w:shd w:val="clear" w:color="000000" w:fill="F7F6F3"/>
            <w:noWrap/>
            <w:vAlign w:val="bottom"/>
            <w:hideMark/>
          </w:tcPr>
          <w:p w14:paraId="5571A594" w14:textId="77777777" w:rsidR="00FB5722" w:rsidRPr="00BD1A8E" w:rsidRDefault="00FB5722" w:rsidP="0044041A">
            <w:pPr>
              <w:spacing w:after="0" w:line="240" w:lineRule="auto"/>
              <w:rPr>
                <w:rFonts w:ascii="Bookman Old Style" w:eastAsia="Times New Roman" w:hAnsi="Bookman Old Style"/>
                <w:color w:val="333333"/>
                <w:sz w:val="20"/>
                <w:szCs w:val="20"/>
              </w:rPr>
            </w:pPr>
            <w:r w:rsidRPr="00BD1A8E">
              <w:rPr>
                <w:rFonts w:ascii="Bookman Old Style" w:eastAsia="Times New Roman" w:hAnsi="Bookman Old Style"/>
                <w:color w:val="333333"/>
                <w:sz w:val="20"/>
                <w:szCs w:val="20"/>
              </w:rPr>
              <w:t>China</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03EA0EF0"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127</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454BBD71"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73.2</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05AF70FF"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123.5</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368E8B0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4.1</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15795634"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873.3</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6AECD29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268.1</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1A58ED6A"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716.9</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6098B247"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1440.8</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5CFC4587"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2525.9</w:t>
            </w:r>
          </w:p>
        </w:tc>
        <w:tc>
          <w:tcPr>
            <w:tcW w:w="446" w:type="pct"/>
            <w:tcBorders>
              <w:top w:val="single" w:sz="8" w:space="0" w:color="auto"/>
              <w:left w:val="nil"/>
              <w:bottom w:val="single" w:sz="8" w:space="0" w:color="auto"/>
              <w:right w:val="single" w:sz="4" w:space="0" w:color="auto"/>
            </w:tcBorders>
            <w:shd w:val="clear" w:color="auto" w:fill="auto"/>
            <w:noWrap/>
            <w:vAlign w:val="bottom"/>
            <w:hideMark/>
          </w:tcPr>
          <w:p w14:paraId="55042FEC"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8038.7</w:t>
            </w:r>
          </w:p>
        </w:tc>
      </w:tr>
      <w:tr w:rsidR="00FB5722" w:rsidRPr="00BD1A8E" w14:paraId="2927F7C1" w14:textId="77777777" w:rsidTr="0044041A">
        <w:trPr>
          <w:trHeight w:val="315"/>
        </w:trPr>
        <w:tc>
          <w:tcPr>
            <w:tcW w:w="748" w:type="pct"/>
            <w:tcBorders>
              <w:top w:val="single" w:sz="8" w:space="0" w:color="auto"/>
              <w:left w:val="single" w:sz="4" w:space="0" w:color="auto"/>
              <w:bottom w:val="single" w:sz="8" w:space="0" w:color="auto"/>
              <w:right w:val="single" w:sz="8" w:space="0" w:color="auto"/>
            </w:tcBorders>
            <w:shd w:val="clear" w:color="000000" w:fill="FFFFFF"/>
            <w:noWrap/>
            <w:vAlign w:val="bottom"/>
            <w:hideMark/>
          </w:tcPr>
          <w:p w14:paraId="0C8792AC" w14:textId="77777777" w:rsidR="00FB5722" w:rsidRPr="00BD1A8E" w:rsidRDefault="00FB5722" w:rsidP="0044041A">
            <w:pPr>
              <w:spacing w:after="0" w:line="240" w:lineRule="auto"/>
              <w:rPr>
                <w:rFonts w:ascii="Bookman Old Style" w:eastAsia="Times New Roman" w:hAnsi="Bookman Old Style"/>
                <w:color w:val="333333"/>
                <w:sz w:val="20"/>
                <w:szCs w:val="20"/>
              </w:rPr>
            </w:pPr>
            <w:r w:rsidRPr="00BD1A8E">
              <w:rPr>
                <w:rFonts w:ascii="Bookman Old Style" w:eastAsia="Times New Roman" w:hAnsi="Bookman Old Style"/>
                <w:color w:val="333333"/>
                <w:sz w:val="20"/>
                <w:szCs w:val="20"/>
              </w:rPr>
              <w:t>Spain</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4812842F"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1175.5</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0965E5A8"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1020.7</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252804B2"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1484.2</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0B48F004"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4725.8</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082C8AA5"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717.9</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2FCF9078"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2798.6</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48E60BBB"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2178.3</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3C5CF15B"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2830.1</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54A40387"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7407.4</w:t>
            </w:r>
          </w:p>
        </w:tc>
        <w:tc>
          <w:tcPr>
            <w:tcW w:w="446" w:type="pct"/>
            <w:tcBorders>
              <w:top w:val="single" w:sz="8" w:space="0" w:color="auto"/>
              <w:left w:val="nil"/>
              <w:bottom w:val="single" w:sz="8" w:space="0" w:color="auto"/>
              <w:right w:val="single" w:sz="4" w:space="0" w:color="auto"/>
            </w:tcBorders>
            <w:shd w:val="clear" w:color="auto" w:fill="auto"/>
            <w:noWrap/>
            <w:vAlign w:val="bottom"/>
            <w:hideMark/>
          </w:tcPr>
          <w:p w14:paraId="33283938"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7802</w:t>
            </w:r>
          </w:p>
        </w:tc>
      </w:tr>
      <w:tr w:rsidR="00FB5722" w:rsidRPr="00BD1A8E" w14:paraId="254D51FF" w14:textId="77777777" w:rsidTr="0044041A">
        <w:trPr>
          <w:trHeight w:val="315"/>
        </w:trPr>
        <w:tc>
          <w:tcPr>
            <w:tcW w:w="748" w:type="pct"/>
            <w:tcBorders>
              <w:top w:val="single" w:sz="8" w:space="0" w:color="auto"/>
              <w:left w:val="single" w:sz="4" w:space="0" w:color="auto"/>
              <w:bottom w:val="single" w:sz="8" w:space="0" w:color="auto"/>
              <w:right w:val="single" w:sz="8" w:space="0" w:color="auto"/>
            </w:tcBorders>
            <w:shd w:val="clear" w:color="000000" w:fill="F7F6F3"/>
            <w:noWrap/>
            <w:vAlign w:val="bottom"/>
            <w:hideMark/>
          </w:tcPr>
          <w:p w14:paraId="7D587BDB" w14:textId="77777777" w:rsidR="00FB5722" w:rsidRPr="00BD1A8E" w:rsidRDefault="00FB5722" w:rsidP="0044041A">
            <w:pPr>
              <w:spacing w:after="0" w:line="240" w:lineRule="auto"/>
              <w:rPr>
                <w:rFonts w:ascii="Bookman Old Style" w:eastAsia="Times New Roman" w:hAnsi="Bookman Old Style"/>
                <w:color w:val="333333"/>
                <w:sz w:val="20"/>
                <w:szCs w:val="20"/>
              </w:rPr>
            </w:pPr>
            <w:r w:rsidRPr="00BD1A8E">
              <w:rPr>
                <w:rFonts w:ascii="Bookman Old Style" w:eastAsia="Times New Roman" w:hAnsi="Bookman Old Style"/>
                <w:color w:val="333333"/>
                <w:sz w:val="20"/>
                <w:szCs w:val="20"/>
              </w:rPr>
              <w:t>France</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46946B1B"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1142.3</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46DDD009"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998.8</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4682D252"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1359.5</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23CB6098"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3351.2</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4C4561AA"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1971.5</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1CC08450"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3370.6</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20A0A477"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2713.7</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4DD233EF"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3506</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141F3556"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7370.6</w:t>
            </w:r>
          </w:p>
        </w:tc>
        <w:tc>
          <w:tcPr>
            <w:tcW w:w="446" w:type="pct"/>
            <w:tcBorders>
              <w:top w:val="single" w:sz="8" w:space="0" w:color="auto"/>
              <w:left w:val="nil"/>
              <w:bottom w:val="single" w:sz="8" w:space="0" w:color="auto"/>
              <w:right w:val="single" w:sz="4" w:space="0" w:color="auto"/>
            </w:tcBorders>
            <w:shd w:val="clear" w:color="auto" w:fill="auto"/>
            <w:noWrap/>
            <w:vAlign w:val="bottom"/>
            <w:hideMark/>
          </w:tcPr>
          <w:p w14:paraId="0C4DF219"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5958.7</w:t>
            </w:r>
          </w:p>
        </w:tc>
      </w:tr>
      <w:tr w:rsidR="00FB5722" w:rsidRPr="00BD1A8E" w14:paraId="2FA7AF77" w14:textId="77777777" w:rsidTr="0044041A">
        <w:trPr>
          <w:trHeight w:val="315"/>
        </w:trPr>
        <w:tc>
          <w:tcPr>
            <w:tcW w:w="748" w:type="pct"/>
            <w:tcBorders>
              <w:top w:val="single" w:sz="8" w:space="0" w:color="auto"/>
              <w:left w:val="single" w:sz="4" w:space="0" w:color="auto"/>
              <w:bottom w:val="single" w:sz="8" w:space="0" w:color="auto"/>
              <w:right w:val="single" w:sz="8" w:space="0" w:color="auto"/>
            </w:tcBorders>
            <w:shd w:val="clear" w:color="000000" w:fill="FFFFFF"/>
            <w:noWrap/>
            <w:vAlign w:val="bottom"/>
            <w:hideMark/>
          </w:tcPr>
          <w:p w14:paraId="224F5DDC" w14:textId="77777777" w:rsidR="00FB5722" w:rsidRPr="00BD1A8E" w:rsidRDefault="00FB5722" w:rsidP="0044041A">
            <w:pPr>
              <w:spacing w:after="0" w:line="240" w:lineRule="auto"/>
              <w:rPr>
                <w:rFonts w:ascii="Bookman Old Style" w:eastAsia="Times New Roman" w:hAnsi="Bookman Old Style"/>
                <w:color w:val="333333"/>
                <w:sz w:val="20"/>
                <w:szCs w:val="20"/>
              </w:rPr>
            </w:pPr>
            <w:r w:rsidRPr="00BD1A8E">
              <w:rPr>
                <w:rFonts w:ascii="Bookman Old Style" w:eastAsia="Times New Roman" w:hAnsi="Bookman Old Style"/>
                <w:color w:val="333333"/>
                <w:sz w:val="20"/>
                <w:szCs w:val="20"/>
              </w:rPr>
              <w:t>South Africa</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59D07991"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197.7</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2DD495C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389</w:t>
            </w:r>
          </w:p>
        </w:tc>
        <w:tc>
          <w:tcPr>
            <w:tcW w:w="401" w:type="pct"/>
            <w:tcBorders>
              <w:top w:val="single" w:sz="8" w:space="0" w:color="auto"/>
              <w:left w:val="nil"/>
              <w:bottom w:val="single" w:sz="8" w:space="0" w:color="auto"/>
              <w:right w:val="single" w:sz="8" w:space="0" w:color="auto"/>
            </w:tcBorders>
            <w:shd w:val="clear" w:color="auto" w:fill="auto"/>
            <w:noWrap/>
            <w:vAlign w:val="bottom"/>
            <w:hideMark/>
          </w:tcPr>
          <w:p w14:paraId="4F83C96A"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589.8</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0DD2CF96"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1064.8</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6B726C6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1382.3</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1FB6A7FB"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2617.6</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3D5710F1"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1679.2</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5031AF56"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1858.2</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1D206284"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3239.3</w:t>
            </w:r>
          </w:p>
        </w:tc>
        <w:tc>
          <w:tcPr>
            <w:tcW w:w="446" w:type="pct"/>
            <w:tcBorders>
              <w:top w:val="single" w:sz="8" w:space="0" w:color="auto"/>
              <w:left w:val="nil"/>
              <w:bottom w:val="single" w:sz="8" w:space="0" w:color="auto"/>
              <w:right w:val="single" w:sz="4" w:space="0" w:color="auto"/>
            </w:tcBorders>
            <w:shd w:val="clear" w:color="auto" w:fill="auto"/>
            <w:noWrap/>
            <w:vAlign w:val="bottom"/>
            <w:hideMark/>
          </w:tcPr>
          <w:p w14:paraId="7E70277C"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4730.8</w:t>
            </w:r>
          </w:p>
        </w:tc>
      </w:tr>
      <w:tr w:rsidR="00FB5722" w:rsidRPr="00BD1A8E" w14:paraId="6FF9C688" w14:textId="77777777" w:rsidTr="0044041A">
        <w:trPr>
          <w:trHeight w:val="315"/>
        </w:trPr>
        <w:tc>
          <w:tcPr>
            <w:tcW w:w="748" w:type="pct"/>
            <w:tcBorders>
              <w:top w:val="single" w:sz="8" w:space="0" w:color="auto"/>
              <w:left w:val="single" w:sz="4" w:space="0" w:color="auto"/>
              <w:bottom w:val="single" w:sz="4" w:space="0" w:color="auto"/>
              <w:right w:val="single" w:sz="8" w:space="0" w:color="auto"/>
            </w:tcBorders>
            <w:shd w:val="clear" w:color="000000" w:fill="F7F6F3"/>
            <w:noWrap/>
            <w:vAlign w:val="bottom"/>
            <w:hideMark/>
          </w:tcPr>
          <w:p w14:paraId="4F0345F7" w14:textId="77777777" w:rsidR="00FB5722" w:rsidRPr="00BD1A8E" w:rsidRDefault="00FB5722" w:rsidP="0044041A">
            <w:pPr>
              <w:spacing w:after="0" w:line="240" w:lineRule="auto"/>
              <w:rPr>
                <w:rFonts w:ascii="Bookman Old Style" w:eastAsia="Times New Roman" w:hAnsi="Bookman Old Style"/>
                <w:color w:val="333333"/>
                <w:sz w:val="20"/>
                <w:szCs w:val="20"/>
              </w:rPr>
            </w:pPr>
            <w:r w:rsidRPr="00BD1A8E">
              <w:rPr>
                <w:rFonts w:ascii="Bookman Old Style" w:eastAsia="Times New Roman" w:hAnsi="Bookman Old Style"/>
                <w:color w:val="333333"/>
                <w:sz w:val="20"/>
                <w:szCs w:val="20"/>
              </w:rPr>
              <w:t>World</w:t>
            </w:r>
          </w:p>
        </w:tc>
        <w:tc>
          <w:tcPr>
            <w:tcW w:w="401" w:type="pct"/>
            <w:tcBorders>
              <w:top w:val="single" w:sz="8" w:space="0" w:color="auto"/>
              <w:left w:val="nil"/>
              <w:bottom w:val="single" w:sz="4" w:space="0" w:color="auto"/>
              <w:right w:val="single" w:sz="8" w:space="0" w:color="auto"/>
            </w:tcBorders>
            <w:shd w:val="clear" w:color="auto" w:fill="auto"/>
            <w:noWrap/>
            <w:vAlign w:val="bottom"/>
            <w:hideMark/>
          </w:tcPr>
          <w:p w14:paraId="4B9FF77C"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18046.1</w:t>
            </w:r>
          </w:p>
        </w:tc>
        <w:tc>
          <w:tcPr>
            <w:tcW w:w="401" w:type="pct"/>
            <w:tcBorders>
              <w:top w:val="single" w:sz="8" w:space="0" w:color="auto"/>
              <w:left w:val="nil"/>
              <w:bottom w:val="single" w:sz="4" w:space="0" w:color="auto"/>
              <w:right w:val="single" w:sz="8" w:space="0" w:color="auto"/>
            </w:tcBorders>
            <w:shd w:val="clear" w:color="auto" w:fill="auto"/>
            <w:noWrap/>
            <w:vAlign w:val="bottom"/>
            <w:hideMark/>
          </w:tcPr>
          <w:p w14:paraId="52E63952"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18607.1</w:t>
            </w:r>
          </w:p>
        </w:tc>
        <w:tc>
          <w:tcPr>
            <w:tcW w:w="401" w:type="pct"/>
            <w:tcBorders>
              <w:top w:val="single" w:sz="8" w:space="0" w:color="auto"/>
              <w:left w:val="nil"/>
              <w:bottom w:val="single" w:sz="4" w:space="0" w:color="auto"/>
              <w:right w:val="single" w:sz="8" w:space="0" w:color="auto"/>
            </w:tcBorders>
            <w:shd w:val="clear" w:color="auto" w:fill="auto"/>
            <w:noWrap/>
            <w:vAlign w:val="bottom"/>
            <w:hideMark/>
          </w:tcPr>
          <w:p w14:paraId="6531E07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24078.3</w:t>
            </w:r>
          </w:p>
        </w:tc>
        <w:tc>
          <w:tcPr>
            <w:tcW w:w="434" w:type="pct"/>
            <w:tcBorders>
              <w:top w:val="single" w:sz="8" w:space="0" w:color="auto"/>
              <w:left w:val="nil"/>
              <w:bottom w:val="single" w:sz="4" w:space="0" w:color="auto"/>
              <w:right w:val="single" w:sz="8" w:space="0" w:color="auto"/>
            </w:tcBorders>
            <w:shd w:val="clear" w:color="auto" w:fill="auto"/>
            <w:noWrap/>
            <w:vAlign w:val="bottom"/>
            <w:hideMark/>
          </w:tcPr>
          <w:p w14:paraId="457E3C95"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59215.2</w:t>
            </w:r>
          </w:p>
        </w:tc>
        <w:tc>
          <w:tcPr>
            <w:tcW w:w="434" w:type="pct"/>
            <w:tcBorders>
              <w:top w:val="single" w:sz="8" w:space="0" w:color="auto"/>
              <w:left w:val="nil"/>
              <w:bottom w:val="single" w:sz="4" w:space="0" w:color="auto"/>
              <w:right w:val="single" w:sz="8" w:space="0" w:color="auto"/>
            </w:tcBorders>
            <w:shd w:val="clear" w:color="auto" w:fill="auto"/>
            <w:noWrap/>
            <w:vAlign w:val="bottom"/>
            <w:hideMark/>
          </w:tcPr>
          <w:p w14:paraId="16E6EECE"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53963.1</w:t>
            </w:r>
          </w:p>
        </w:tc>
        <w:tc>
          <w:tcPr>
            <w:tcW w:w="434" w:type="pct"/>
            <w:tcBorders>
              <w:top w:val="single" w:sz="8" w:space="0" w:color="auto"/>
              <w:left w:val="nil"/>
              <w:bottom w:val="single" w:sz="4" w:space="0" w:color="auto"/>
              <w:right w:val="single" w:sz="8" w:space="0" w:color="auto"/>
            </w:tcBorders>
            <w:shd w:val="clear" w:color="auto" w:fill="auto"/>
            <w:noWrap/>
            <w:vAlign w:val="bottom"/>
            <w:hideMark/>
          </w:tcPr>
          <w:p w14:paraId="34642409"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81820.5</w:t>
            </w:r>
          </w:p>
        </w:tc>
        <w:tc>
          <w:tcPr>
            <w:tcW w:w="434" w:type="pct"/>
            <w:tcBorders>
              <w:top w:val="single" w:sz="8" w:space="0" w:color="auto"/>
              <w:left w:val="nil"/>
              <w:bottom w:val="single" w:sz="4" w:space="0" w:color="auto"/>
              <w:right w:val="single" w:sz="8" w:space="0" w:color="auto"/>
            </w:tcBorders>
            <w:shd w:val="clear" w:color="auto" w:fill="auto"/>
            <w:noWrap/>
            <w:vAlign w:val="bottom"/>
            <w:hideMark/>
          </w:tcPr>
          <w:p w14:paraId="00C746E3"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49937.5</w:t>
            </w:r>
          </w:p>
        </w:tc>
        <w:tc>
          <w:tcPr>
            <w:tcW w:w="434" w:type="pct"/>
            <w:tcBorders>
              <w:top w:val="single" w:sz="8" w:space="0" w:color="auto"/>
              <w:left w:val="nil"/>
              <w:bottom w:val="single" w:sz="4" w:space="0" w:color="auto"/>
              <w:right w:val="single" w:sz="8" w:space="0" w:color="auto"/>
            </w:tcBorders>
            <w:shd w:val="clear" w:color="auto" w:fill="auto"/>
            <w:noWrap/>
            <w:vAlign w:val="bottom"/>
            <w:hideMark/>
          </w:tcPr>
          <w:p w14:paraId="77F72F3B"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86567.9</w:t>
            </w:r>
          </w:p>
        </w:tc>
        <w:tc>
          <w:tcPr>
            <w:tcW w:w="434" w:type="pct"/>
            <w:tcBorders>
              <w:top w:val="single" w:sz="8" w:space="0" w:color="auto"/>
              <w:left w:val="nil"/>
              <w:bottom w:val="single" w:sz="4" w:space="0" w:color="auto"/>
              <w:right w:val="single" w:sz="8" w:space="0" w:color="auto"/>
            </w:tcBorders>
            <w:shd w:val="clear" w:color="auto" w:fill="auto"/>
            <w:noWrap/>
            <w:vAlign w:val="bottom"/>
            <w:hideMark/>
          </w:tcPr>
          <w:p w14:paraId="60DBD030"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125641</w:t>
            </w:r>
          </w:p>
        </w:tc>
        <w:tc>
          <w:tcPr>
            <w:tcW w:w="446" w:type="pct"/>
            <w:tcBorders>
              <w:top w:val="single" w:sz="8" w:space="0" w:color="auto"/>
              <w:left w:val="nil"/>
              <w:bottom w:val="single" w:sz="4" w:space="0" w:color="auto"/>
              <w:right w:val="single" w:sz="4" w:space="0" w:color="auto"/>
            </w:tcBorders>
            <w:shd w:val="clear" w:color="auto" w:fill="auto"/>
            <w:noWrap/>
            <w:vAlign w:val="bottom"/>
            <w:hideMark/>
          </w:tcPr>
          <w:p w14:paraId="6BCE9A13" w14:textId="77777777" w:rsidR="00FB5722" w:rsidRPr="00BD1A8E" w:rsidRDefault="00FB5722" w:rsidP="0044041A">
            <w:pPr>
              <w:spacing w:after="0" w:line="240" w:lineRule="auto"/>
              <w:jc w:val="right"/>
              <w:rPr>
                <w:rFonts w:ascii="Bookman Old Style" w:eastAsia="Times New Roman" w:hAnsi="Bookman Old Style"/>
                <w:color w:val="000000"/>
                <w:sz w:val="20"/>
                <w:szCs w:val="20"/>
              </w:rPr>
            </w:pPr>
            <w:r w:rsidRPr="00BD1A8E">
              <w:rPr>
                <w:rFonts w:ascii="Bookman Old Style" w:eastAsia="Times New Roman" w:hAnsi="Bookman Old Style"/>
                <w:color w:val="000000"/>
                <w:sz w:val="20"/>
                <w:szCs w:val="20"/>
              </w:rPr>
              <w:t>143151.2</w:t>
            </w:r>
          </w:p>
        </w:tc>
      </w:tr>
    </w:tbl>
    <w:p w14:paraId="5C424485" w14:textId="77777777" w:rsidR="00FB5722" w:rsidRPr="00BD1A8E" w:rsidRDefault="00FB5722" w:rsidP="00FB5722">
      <w:pPr>
        <w:spacing w:line="240" w:lineRule="auto"/>
        <w:rPr>
          <w:rFonts w:ascii="Bookman Old Style" w:hAnsi="Bookman Old Style"/>
          <w:sz w:val="20"/>
          <w:szCs w:val="20"/>
        </w:rPr>
      </w:pPr>
      <w:r w:rsidRPr="00BD1A8E">
        <w:rPr>
          <w:rFonts w:ascii="Bookman Old Style" w:hAnsi="Bookman Old Style"/>
          <w:sz w:val="20"/>
          <w:szCs w:val="20"/>
        </w:rPr>
        <w:t>Source: World Integrated Trade Solutions (WITS), COMTRADE database, World Bank</w:t>
      </w:r>
    </w:p>
    <w:p w14:paraId="754B788E" w14:textId="77777777" w:rsidR="00FB5722" w:rsidRPr="00BD1A8E" w:rsidRDefault="00FB5722" w:rsidP="00FB5722">
      <w:pPr>
        <w:pStyle w:val="NoSpacing"/>
        <w:rPr>
          <w:rFonts w:ascii="Bookman Old Style" w:hAnsi="Bookman Old Style"/>
          <w:b/>
        </w:rPr>
      </w:pPr>
    </w:p>
    <w:p w14:paraId="6B5CE269" w14:textId="77777777" w:rsidR="00FB5722" w:rsidRPr="00BD1A8E" w:rsidRDefault="00FB5722" w:rsidP="00FB5722">
      <w:pPr>
        <w:jc w:val="both"/>
        <w:rPr>
          <w:rFonts w:ascii="Bookman Old Style" w:hAnsi="Bookman Old Style"/>
          <w:sz w:val="24"/>
          <w:szCs w:val="24"/>
        </w:rPr>
      </w:pPr>
      <w:r w:rsidRPr="00BD1A8E">
        <w:rPr>
          <w:rFonts w:ascii="Bookman Old Style" w:hAnsi="Bookman Old Style"/>
          <w:color w:val="000000"/>
          <w:sz w:val="24"/>
          <w:szCs w:val="24"/>
        </w:rPr>
        <w:t>In Nigeria, the main issue of concern is that e</w:t>
      </w:r>
      <w:r w:rsidRPr="00BD1A8E">
        <w:rPr>
          <w:rFonts w:ascii="Bookman Old Style" w:hAnsi="Bookman Old Style"/>
          <w:sz w:val="24"/>
          <w:szCs w:val="24"/>
        </w:rPr>
        <w:t>xisting trade-related infrastructure has not expanded at the same pace as trade needs, the growth of urban centers and the rise in population. Many businesses complain of the high cost of transporting goods to market owing to Nigeria’s inadequate road networks and trade facilitation. This has a direct impact on profit margins, business growth and the costs of goods and services for consumers. Where transport infrastructure has been somewhat improved in Nigeria and across the region, it has not been suitably integrated to enhance industrial competitiveness by improving connectivity between rural and urban centers and between towns and cities.</w:t>
      </w:r>
    </w:p>
    <w:p w14:paraId="3D1BAF1B" w14:textId="77777777" w:rsidR="00953A07" w:rsidRDefault="00FB5722" w:rsidP="00953A07">
      <w:pPr>
        <w:tabs>
          <w:tab w:val="left" w:pos="567"/>
        </w:tabs>
        <w:spacing w:before="120"/>
        <w:jc w:val="both"/>
        <w:rPr>
          <w:rFonts w:ascii="Bookman Old Style" w:hAnsi="Bookman Old Style"/>
          <w:sz w:val="24"/>
          <w:szCs w:val="24"/>
        </w:rPr>
      </w:pPr>
      <w:r w:rsidRPr="00BD1A8E">
        <w:rPr>
          <w:rFonts w:ascii="Bookman Old Style" w:hAnsi="Bookman Old Style"/>
          <w:sz w:val="24"/>
          <w:szCs w:val="24"/>
        </w:rPr>
        <w:t xml:space="preserve">On the </w:t>
      </w:r>
      <w:r w:rsidRPr="00BD1A8E">
        <w:rPr>
          <w:rStyle w:val="WW-Saisiedelutilisateur1"/>
          <w:rFonts w:ascii="Bookman Old Style" w:hAnsi="Bookman Old Style"/>
          <w:sz w:val="24"/>
          <w:szCs w:val="24"/>
        </w:rPr>
        <w:t xml:space="preserve">structural transformation of the economies, </w:t>
      </w:r>
      <w:r w:rsidRPr="00BD1A8E">
        <w:rPr>
          <w:rFonts w:ascii="Bookman Old Style" w:hAnsi="Bookman Old Style"/>
          <w:sz w:val="24"/>
          <w:szCs w:val="24"/>
        </w:rPr>
        <w:t xml:space="preserve">the initial challenges relate to poor production capacities of ECOWAS member states. Product concentration measured as share of the top three exported products and market concentration measured as the share of the top three export markets show the degree of economic diversification of countries. As shown in Figure </w:t>
      </w:r>
      <w:r w:rsidRPr="00BD1A8E">
        <w:rPr>
          <w:rFonts w:ascii="Bookman Old Style" w:hAnsi="Bookman Old Style"/>
          <w:sz w:val="24"/>
          <w:szCs w:val="24"/>
        </w:rPr>
        <w:lastRenderedPageBreak/>
        <w:t xml:space="preserve">3, Nigeria the leading ECOWAS member state and other seven ECOWAS member states had low product and market diversification. Only four ECOWAS member states had high product and market diversification. This kind of economic and trade structure is not appropriate for a common </w:t>
      </w:r>
      <w:r w:rsidR="00953A07">
        <w:rPr>
          <w:rFonts w:ascii="Bookman Old Style" w:hAnsi="Bookman Old Style"/>
          <w:sz w:val="24"/>
          <w:szCs w:val="24"/>
        </w:rPr>
        <w:t>market.</w:t>
      </w:r>
    </w:p>
    <w:p w14:paraId="6E10EBA8" w14:textId="77777777" w:rsidR="00953A07" w:rsidRDefault="00953A07" w:rsidP="00953A07">
      <w:pPr>
        <w:tabs>
          <w:tab w:val="left" w:pos="567"/>
        </w:tabs>
        <w:spacing w:before="120"/>
        <w:jc w:val="both"/>
        <w:rPr>
          <w:rFonts w:ascii="Bookman Old Style" w:hAnsi="Bookman Old Style"/>
          <w:sz w:val="24"/>
          <w:szCs w:val="24"/>
        </w:rPr>
      </w:pPr>
    </w:p>
    <w:p w14:paraId="30549E77" w14:textId="53048B16" w:rsidR="00FB5722" w:rsidRPr="00953A07" w:rsidRDefault="008C2E72" w:rsidP="00953A07">
      <w:pPr>
        <w:tabs>
          <w:tab w:val="left" w:pos="567"/>
        </w:tabs>
        <w:spacing w:before="120"/>
        <w:jc w:val="both"/>
        <w:rPr>
          <w:rFonts w:ascii="Bookman Old Style" w:hAnsi="Bookman Old Style"/>
          <w:sz w:val="24"/>
          <w:szCs w:val="24"/>
        </w:rPr>
      </w:pPr>
      <w:r>
        <w:rPr>
          <w:rFonts w:ascii="Bookman Old Style" w:hAnsi="Bookman Old Style"/>
          <w:b/>
          <w:sz w:val="24"/>
          <w:szCs w:val="24"/>
        </w:rPr>
        <w:t>Figure 1</w:t>
      </w:r>
      <w:r w:rsidR="00F56C68">
        <w:rPr>
          <w:rFonts w:ascii="Bookman Old Style" w:hAnsi="Bookman Old Style"/>
          <w:b/>
          <w:sz w:val="24"/>
          <w:szCs w:val="24"/>
        </w:rPr>
        <w:t>3</w:t>
      </w:r>
      <w:r w:rsidR="00FB5722" w:rsidRPr="00BD1A8E">
        <w:rPr>
          <w:rFonts w:ascii="Bookman Old Style" w:hAnsi="Bookman Old Style"/>
          <w:b/>
          <w:sz w:val="24"/>
          <w:szCs w:val="24"/>
        </w:rPr>
        <w:t xml:space="preserve">: Product and Market Diversification of ECOWAS Member States </w:t>
      </w:r>
    </w:p>
    <w:p w14:paraId="3950154C" w14:textId="77777777" w:rsidR="00FB5722" w:rsidRPr="003871A7" w:rsidRDefault="00FB5722" w:rsidP="003871A7">
      <w:pPr>
        <w:tabs>
          <w:tab w:val="left" w:pos="567"/>
        </w:tabs>
        <w:spacing w:before="120"/>
        <w:ind w:left="144"/>
        <w:jc w:val="both"/>
        <w:rPr>
          <w:rFonts w:ascii="Bookman Old Style" w:hAnsi="Bookman Old Style"/>
          <w:sz w:val="24"/>
          <w:szCs w:val="24"/>
        </w:rPr>
      </w:pPr>
      <w:r w:rsidRPr="00BD1A8E">
        <w:rPr>
          <w:rFonts w:ascii="Bookman Old Style" w:hAnsi="Bookman Old Style"/>
          <w:noProof/>
          <w:lang w:eastAsia="en-GB"/>
        </w:rPr>
        <w:drawing>
          <wp:inline distT="0" distB="0" distL="0" distR="0" wp14:anchorId="373ADB6E" wp14:editId="6800DE0E">
            <wp:extent cx="5715000" cy="407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076700"/>
                    </a:xfrm>
                    <a:prstGeom prst="rect">
                      <a:avLst/>
                    </a:prstGeom>
                    <a:noFill/>
                    <a:ln>
                      <a:noFill/>
                    </a:ln>
                  </pic:spPr>
                </pic:pic>
              </a:graphicData>
            </a:graphic>
          </wp:inline>
        </w:drawing>
      </w:r>
    </w:p>
    <w:p w14:paraId="504DC4D2" w14:textId="77777777" w:rsidR="00AF6713" w:rsidRDefault="00AF6713" w:rsidP="00FB5722">
      <w:pPr>
        <w:jc w:val="both"/>
        <w:rPr>
          <w:rFonts w:ascii="Bookman Old Style" w:hAnsi="Bookman Old Style"/>
          <w:b/>
          <w:sz w:val="24"/>
          <w:szCs w:val="24"/>
        </w:rPr>
      </w:pPr>
    </w:p>
    <w:p w14:paraId="52849FAE" w14:textId="77777777" w:rsidR="00FB5722" w:rsidRPr="00BD1A8E" w:rsidRDefault="00FB5722" w:rsidP="00FB5722">
      <w:pPr>
        <w:jc w:val="both"/>
        <w:rPr>
          <w:rFonts w:ascii="Bookman Old Style" w:hAnsi="Bookman Old Style"/>
          <w:b/>
          <w:sz w:val="24"/>
          <w:szCs w:val="24"/>
        </w:rPr>
      </w:pPr>
      <w:r w:rsidRPr="00BD1A8E">
        <w:rPr>
          <w:rFonts w:ascii="Bookman Old Style" w:hAnsi="Bookman Old Style"/>
          <w:b/>
          <w:sz w:val="24"/>
          <w:szCs w:val="24"/>
        </w:rPr>
        <w:t>5.3 Basic Description of WTO Trade Facilitation Agreements</w:t>
      </w:r>
    </w:p>
    <w:p w14:paraId="44EEA58F" w14:textId="77777777" w:rsidR="00FB5722" w:rsidRPr="00BD1A8E" w:rsidRDefault="00FB5722" w:rsidP="00FB5722">
      <w:pPr>
        <w:jc w:val="both"/>
        <w:rPr>
          <w:rFonts w:ascii="Bookman Old Style" w:hAnsi="Bookman Old Style"/>
          <w:sz w:val="24"/>
          <w:szCs w:val="24"/>
        </w:rPr>
      </w:pPr>
      <w:r w:rsidRPr="00BD1A8E">
        <w:rPr>
          <w:rFonts w:ascii="Bookman Old Style" w:hAnsi="Bookman Old Style"/>
          <w:sz w:val="24"/>
          <w:szCs w:val="24"/>
        </w:rPr>
        <w:t xml:space="preserve">TFA articles can be divided into six classes. The first is transparency; Transparency Articles are built on Article X of the WTO’s GATT. This classification includes Article 1 to 5 of the TFA. Art. 1 is publication &amp; availability of information. This is publication of trade related information through various communication means including internet. The article also allows the creation of enquiry points to answer enquiries and provide forms. Art 2 is prior publication &amp; consultation. This provides an opportunity to comment changes to trade related regulations. It also includes consultation on a regular basis from public and private stakeholders. Art. 3 is advance rulings. This provides traders authoritative and binding information about </w:t>
      </w:r>
      <w:r w:rsidRPr="00BD1A8E">
        <w:rPr>
          <w:rFonts w:ascii="Bookman Old Style" w:hAnsi="Bookman Old Style"/>
          <w:sz w:val="24"/>
          <w:szCs w:val="24"/>
        </w:rPr>
        <w:lastRenderedPageBreak/>
        <w:t xml:space="preserve">various customs disciplines before importation/exportation. Art. 4 is related to appeal or review procedures. It provides right to administrative review and/or to judicial appeal of decisions made by Customs authority. Art. 5 regulate notification for enhanced controls or inspections and inform the importer in case of detention. The article also provides an opportunity for a confirmatory test. </w:t>
      </w:r>
      <w:r w:rsidRPr="00BD1A8E">
        <w:rPr>
          <w:rFonts w:ascii="Bookman Old Style" w:hAnsi="Bookman Old Style"/>
          <w:sz w:val="24"/>
          <w:szCs w:val="24"/>
        </w:rPr>
        <w:tab/>
      </w:r>
    </w:p>
    <w:p w14:paraId="12524681" w14:textId="77777777" w:rsidR="00FB5722" w:rsidRPr="00BD1A8E" w:rsidRDefault="00FB5722" w:rsidP="00FB5722">
      <w:pPr>
        <w:jc w:val="both"/>
        <w:rPr>
          <w:rFonts w:ascii="Bookman Old Style" w:hAnsi="Bookman Old Style"/>
          <w:sz w:val="24"/>
          <w:szCs w:val="24"/>
        </w:rPr>
      </w:pPr>
      <w:r w:rsidRPr="00BD1A8E">
        <w:rPr>
          <w:rFonts w:ascii="Bookman Old Style" w:hAnsi="Bookman Old Style"/>
          <w:sz w:val="24"/>
          <w:szCs w:val="24"/>
        </w:rPr>
        <w:t>The second class relates to Fees and formalities.  These articles are built on the Article VIII of GATT. This class includes Article 6 to 10 of the TFA.  Art. 6 is discipline on fees and charges. This provides for publication of fees &amp; charges imposed as well as limit fees and charges to the costs of service rendered. The article also enables the periodic review of fees and charges in order to reduce number and diversity.  Article 7 of the TFA relates to Release and clearance of goods.  It can be regarded as the ‘two in one’. It deals with how goods would be released and cleared at the point of entry. Therefore, the article is all about customs duties, taxes, fees and charges. It provides traders the facility to submit import documents prior goods arrival and electronic payments for duties, taxes, fees and charges. The article allows the release of goods prior to the final determination of customs duties, taxes, fees and charges.  It ensures set-up of a risk management system that focus controls on high-risk consignments and quick release of low-risk consignments. More so, it ensures release of goods within the shortest possible time (include outside standard business hours if required by circumstances) and measure and publish periodically the average release time of goods as well as consignment documentation compliance after release of the good. The article also set-up the facilitative procedures to expedite release of air cargo and provides additional facilitation to selected operators called ‘authorized operators’.</w:t>
      </w:r>
    </w:p>
    <w:p w14:paraId="79677763" w14:textId="77777777" w:rsidR="00FB5722" w:rsidRPr="00BD1A8E" w:rsidRDefault="00FB5722" w:rsidP="00FB5722">
      <w:pPr>
        <w:jc w:val="both"/>
        <w:rPr>
          <w:rFonts w:ascii="Bookman Old Style" w:hAnsi="Bookman Old Style"/>
          <w:sz w:val="24"/>
          <w:szCs w:val="24"/>
        </w:rPr>
      </w:pPr>
    </w:p>
    <w:p w14:paraId="115BF778" w14:textId="77777777" w:rsidR="00FB5722" w:rsidRPr="00BD1A8E" w:rsidRDefault="00FB5722" w:rsidP="00FB5722">
      <w:pPr>
        <w:jc w:val="both"/>
        <w:rPr>
          <w:rFonts w:ascii="Bookman Old Style" w:hAnsi="Bookman Old Style"/>
          <w:sz w:val="24"/>
          <w:szCs w:val="24"/>
        </w:rPr>
      </w:pPr>
      <w:r w:rsidRPr="00BD1A8E">
        <w:rPr>
          <w:rFonts w:ascii="Bookman Old Style" w:hAnsi="Bookman Old Style"/>
          <w:sz w:val="24"/>
          <w:szCs w:val="24"/>
        </w:rPr>
        <w:t xml:space="preserve"> Art. 8 is all about border agency cooperation. It seeks to ensure cooperation and coordination between national and international border regulatory agencies (e.g. alignment of working days and hours of procedures, formalities and so on). Art 9 deals with the movement of goods under custom control. This provides the possibility to transport goods dedicated for import within the member state territory under custom control. Art 10 deals with issues of import, export and transit formalities. It sets out to minimize the incidence and complexity of import, export and transit formalities and decreases and simplifies documentation requirements.</w:t>
      </w:r>
    </w:p>
    <w:p w14:paraId="10317CA8" w14:textId="77777777" w:rsidR="00FB5722" w:rsidRPr="00BD1A8E" w:rsidRDefault="00FB5722" w:rsidP="00FB5722">
      <w:pPr>
        <w:jc w:val="both"/>
        <w:rPr>
          <w:rFonts w:ascii="Bookman Old Style" w:hAnsi="Bookman Old Style"/>
          <w:sz w:val="24"/>
          <w:szCs w:val="24"/>
        </w:rPr>
      </w:pPr>
    </w:p>
    <w:p w14:paraId="5587E623" w14:textId="77777777" w:rsidR="00FB5722" w:rsidRPr="00BD1A8E" w:rsidRDefault="00FB5722" w:rsidP="00FB5722">
      <w:pPr>
        <w:jc w:val="both"/>
        <w:rPr>
          <w:rFonts w:ascii="Bookman Old Style" w:hAnsi="Bookman Old Style"/>
          <w:sz w:val="24"/>
          <w:szCs w:val="24"/>
        </w:rPr>
      </w:pPr>
      <w:r w:rsidRPr="00BD1A8E">
        <w:rPr>
          <w:rFonts w:ascii="Bookman Old Style" w:hAnsi="Bookman Old Style"/>
          <w:sz w:val="24"/>
          <w:szCs w:val="24"/>
        </w:rPr>
        <w:t xml:space="preserve">Fees and Formalities are treated in Article 10 of the TFA. It is all about formalities connected with importation, exportation and transit. The article provides for the review of formalities and documentation requirements to minimize complexity of operations and simplify documentation </w:t>
      </w:r>
      <w:r w:rsidRPr="00BD1A8E">
        <w:rPr>
          <w:rFonts w:ascii="Bookman Old Style" w:hAnsi="Bookman Old Style"/>
          <w:sz w:val="24"/>
          <w:szCs w:val="24"/>
        </w:rPr>
        <w:lastRenderedPageBreak/>
        <w:t xml:space="preserve">requirements. It also ensures that these formalities, procedures and documentation requirements are based on international standards. The acceptance by border regulatory agencies of paper or electronic copies of the required documentation is included in the article.  The article provides a set-up for a single entry point through which traders will submit, only once information to all border agencies and through which agencies will submit their responses back.  The article is specific that it is not mandatory to use the pre-shipment inspections for tariff classification and customs valuation and also, that the use of customs brokers is not mandatory (i.e. the use of customs brokers shall be optional). More so, the article ensures the application of the same procedures for the release and clearance of goods at the border points throughout its territory. It provides for the importer a realistic possibility to return the goods to the exporter or re-consign (if rejected on the basis of failure to comply with SGS or technical standards). Lastly, the release of goods, without payment of duty and taxes, for importation for a predefined period and predefined purpose of use is stated in the article.  </w:t>
      </w:r>
    </w:p>
    <w:p w14:paraId="5994B3E4" w14:textId="77777777" w:rsidR="00FB5722" w:rsidRPr="00BD1A8E" w:rsidRDefault="00FB5722" w:rsidP="00FB5722">
      <w:pPr>
        <w:jc w:val="both"/>
        <w:rPr>
          <w:rFonts w:ascii="Bookman Old Style" w:hAnsi="Bookman Old Style"/>
          <w:sz w:val="24"/>
          <w:szCs w:val="24"/>
        </w:rPr>
      </w:pPr>
      <w:r w:rsidRPr="00BD1A8E">
        <w:rPr>
          <w:rFonts w:ascii="Bookman Old Style" w:hAnsi="Bookman Old Style"/>
          <w:sz w:val="24"/>
          <w:szCs w:val="24"/>
        </w:rPr>
        <w:t xml:space="preserve">The third class relates to </w:t>
      </w:r>
      <w:r w:rsidRPr="00BD1A8E">
        <w:rPr>
          <w:rFonts w:ascii="Bookman Old Style" w:eastAsia="Times New Roman" w:hAnsi="Bookman Old Style"/>
          <w:color w:val="000000"/>
          <w:sz w:val="24"/>
          <w:szCs w:val="24"/>
        </w:rPr>
        <w:t>Transit and organizational issues</w:t>
      </w:r>
      <w:r w:rsidRPr="00BD1A8E">
        <w:rPr>
          <w:rFonts w:ascii="Bookman Old Style" w:eastAsia="Times New Roman" w:hAnsi="Bookman Old Style"/>
          <w:color w:val="000000"/>
          <w:sz w:val="20"/>
          <w:szCs w:val="20"/>
        </w:rPr>
        <w:t xml:space="preserve">.  </w:t>
      </w:r>
      <w:r w:rsidRPr="00BD1A8E">
        <w:rPr>
          <w:rFonts w:ascii="Bookman Old Style" w:eastAsia="Times New Roman" w:hAnsi="Bookman Old Style"/>
          <w:color w:val="000000"/>
          <w:sz w:val="24"/>
          <w:szCs w:val="24"/>
        </w:rPr>
        <w:t>In</w:t>
      </w:r>
      <w:r w:rsidRPr="00BD1A8E">
        <w:rPr>
          <w:rFonts w:ascii="Bookman Old Style" w:eastAsia="Times New Roman" w:hAnsi="Bookman Old Style"/>
          <w:color w:val="000000"/>
          <w:sz w:val="20"/>
          <w:szCs w:val="20"/>
        </w:rPr>
        <w:t xml:space="preserve"> </w:t>
      </w:r>
      <w:r w:rsidRPr="00BD1A8E">
        <w:rPr>
          <w:rFonts w:ascii="Bookman Old Style" w:hAnsi="Bookman Old Style"/>
          <w:sz w:val="24"/>
          <w:szCs w:val="24"/>
        </w:rPr>
        <w:t>Article 11 of TFA, freedom of transit in member countries is dealt with. The article does not apply technical regulations and conformity assessment on goods in transit (Article 11.8) and this will lead to further limits of burdensome procedure. It also provides advancement in filing and processing for goods in transit (Article 11.9) which lead to a binding commitment. The article ensures that there is limited use of customs convoys (Article 11.5) and enhance member cooperation and appoint transit coordinator (Article 11.12 and 11.13). Customs Cooperation is treated in Article 12 of TFA. It is all about information sharing and exchange. The article enables share of information on best practices in managing customs compliance and cooperate in technical guidance or assistance in building capacity. It also has provision for exchange of information and documents to verify an import or export declaration and documents that should be provided are to be true copies of the documents. Lastly, the article ensures members retain the possibility to enter/ maintain bilateral or regional agreement for exchange of customs information. This is as a result of the fact that TFA cannot alter or affect the members’ rights and obligations under these agreements.</w:t>
      </w:r>
    </w:p>
    <w:p w14:paraId="38C6103D" w14:textId="77777777" w:rsidR="00FB5722" w:rsidRPr="00BD1A8E" w:rsidRDefault="00FB5722" w:rsidP="00FB5722">
      <w:pPr>
        <w:jc w:val="both"/>
        <w:rPr>
          <w:rFonts w:ascii="Bookman Old Style" w:hAnsi="Bookman Old Style"/>
          <w:sz w:val="24"/>
          <w:szCs w:val="24"/>
        </w:rPr>
      </w:pPr>
      <w:r w:rsidRPr="00BD1A8E">
        <w:rPr>
          <w:rFonts w:ascii="Bookman Old Style" w:hAnsi="Bookman Old Style"/>
          <w:sz w:val="24"/>
          <w:szCs w:val="24"/>
        </w:rPr>
        <w:t>The Trade Facilitation Agreement is designed mainly to meet businesses requirements and address what traders want. What traders want and their provisions in the TFA are as following;</w:t>
      </w:r>
    </w:p>
    <w:p w14:paraId="2169C8E8" w14:textId="77777777" w:rsidR="00FB5722" w:rsidRPr="00BD1A8E" w:rsidRDefault="00FB5722" w:rsidP="00FB5722">
      <w:pPr>
        <w:pStyle w:val="ListParagraph"/>
        <w:numPr>
          <w:ilvl w:val="0"/>
          <w:numId w:val="64"/>
        </w:numPr>
        <w:jc w:val="both"/>
        <w:rPr>
          <w:rFonts w:ascii="Bookman Old Style" w:hAnsi="Bookman Old Style"/>
          <w:sz w:val="24"/>
          <w:szCs w:val="24"/>
        </w:rPr>
      </w:pPr>
      <w:r w:rsidRPr="00BD1A8E">
        <w:rPr>
          <w:rFonts w:ascii="Bookman Old Style" w:hAnsi="Bookman Old Style"/>
          <w:sz w:val="24"/>
          <w:szCs w:val="24"/>
        </w:rPr>
        <w:t>Transparent, accessible and predictable rules as well as procedures which are provided for in Art. 1 (Easily accessible trade related information) and Art. 3 (Issuance of advanced rulings).</w:t>
      </w:r>
    </w:p>
    <w:p w14:paraId="724D3077" w14:textId="77777777" w:rsidR="00FB5722" w:rsidRPr="00BD1A8E" w:rsidRDefault="00FB5722" w:rsidP="00FB5722">
      <w:pPr>
        <w:pStyle w:val="ListParagraph"/>
        <w:numPr>
          <w:ilvl w:val="0"/>
          <w:numId w:val="64"/>
        </w:numPr>
        <w:jc w:val="both"/>
        <w:rPr>
          <w:rFonts w:ascii="Bookman Old Style" w:hAnsi="Bookman Old Style"/>
          <w:sz w:val="24"/>
          <w:szCs w:val="24"/>
        </w:rPr>
      </w:pPr>
      <w:r w:rsidRPr="00BD1A8E">
        <w:rPr>
          <w:rFonts w:ascii="Bookman Old Style" w:hAnsi="Bookman Old Style"/>
          <w:sz w:val="24"/>
          <w:szCs w:val="24"/>
        </w:rPr>
        <w:lastRenderedPageBreak/>
        <w:t>Standardized forms and such is provided for under Art. 10(Use of International standards in an effort to promote uniform documentation and data requirements).</w:t>
      </w:r>
    </w:p>
    <w:p w14:paraId="16492A50" w14:textId="77777777" w:rsidR="00FB5722" w:rsidRPr="00BD1A8E" w:rsidRDefault="00FB5722" w:rsidP="00FB5722">
      <w:pPr>
        <w:pStyle w:val="ListParagraph"/>
        <w:numPr>
          <w:ilvl w:val="0"/>
          <w:numId w:val="64"/>
        </w:numPr>
        <w:jc w:val="both"/>
        <w:rPr>
          <w:rFonts w:ascii="Bookman Old Style" w:hAnsi="Bookman Old Style"/>
          <w:sz w:val="24"/>
          <w:szCs w:val="24"/>
        </w:rPr>
      </w:pPr>
      <w:r w:rsidRPr="00BD1A8E">
        <w:rPr>
          <w:rFonts w:ascii="Bookman Old Style" w:hAnsi="Bookman Old Style"/>
          <w:sz w:val="24"/>
          <w:szCs w:val="24"/>
        </w:rPr>
        <w:t>A single access point for all public services at agencies and is provided for in Art. 8 (border agency coordination), Art. 10.2 (Acceptance of copies) and Art. 10.4 (establishment of a “single window”).</w:t>
      </w:r>
    </w:p>
    <w:p w14:paraId="0FE8F3E4" w14:textId="77777777" w:rsidR="00FB5722" w:rsidRPr="00BD1A8E" w:rsidRDefault="00FB5722" w:rsidP="00FB5722">
      <w:pPr>
        <w:pStyle w:val="ListParagraph"/>
        <w:numPr>
          <w:ilvl w:val="0"/>
          <w:numId w:val="64"/>
        </w:numPr>
        <w:jc w:val="both"/>
        <w:rPr>
          <w:rFonts w:ascii="Bookman Old Style" w:hAnsi="Bookman Old Style"/>
          <w:sz w:val="24"/>
          <w:szCs w:val="24"/>
        </w:rPr>
      </w:pPr>
      <w:r w:rsidRPr="00BD1A8E">
        <w:rPr>
          <w:rFonts w:ascii="Bookman Old Style" w:hAnsi="Bookman Old Style"/>
          <w:sz w:val="24"/>
          <w:szCs w:val="24"/>
        </w:rPr>
        <w:t>Simple, efficient and uniform formalities which is provided for in Art. 10.7 (common border procedure and documentation), Art. 10.1 (Periodic review and simplification of formalities), Art.7.4 (risk management) and Art. 7.6 (publication of release times).</w:t>
      </w:r>
    </w:p>
    <w:p w14:paraId="76E12779" w14:textId="77777777" w:rsidR="00FB5722" w:rsidRPr="00BD1A8E" w:rsidRDefault="00FB5722" w:rsidP="00FB5722">
      <w:pPr>
        <w:pStyle w:val="ListParagraph"/>
        <w:numPr>
          <w:ilvl w:val="0"/>
          <w:numId w:val="64"/>
        </w:numPr>
        <w:jc w:val="both"/>
        <w:rPr>
          <w:rFonts w:ascii="Bookman Old Style" w:hAnsi="Bookman Old Style"/>
          <w:sz w:val="24"/>
          <w:szCs w:val="24"/>
        </w:rPr>
      </w:pPr>
      <w:r w:rsidRPr="00BD1A8E">
        <w:rPr>
          <w:rFonts w:ascii="Bookman Old Style" w:hAnsi="Bookman Old Style"/>
          <w:sz w:val="24"/>
          <w:szCs w:val="24"/>
        </w:rPr>
        <w:t>Just and rewarding system which is provided for in Art. 4 (procedures for appeal or review), Art. 7.7 (authorized operators) and Art. 6 (disciplines and fees and charges).</w:t>
      </w:r>
    </w:p>
    <w:p w14:paraId="36B44F42" w14:textId="77777777" w:rsidR="00FB5722" w:rsidRPr="00BD1A8E" w:rsidRDefault="00FB5722" w:rsidP="00FB5722">
      <w:pPr>
        <w:pStyle w:val="ListParagraph"/>
        <w:numPr>
          <w:ilvl w:val="0"/>
          <w:numId w:val="64"/>
        </w:numPr>
        <w:jc w:val="both"/>
        <w:rPr>
          <w:rFonts w:ascii="Bookman Old Style" w:hAnsi="Bookman Old Style"/>
          <w:sz w:val="24"/>
          <w:szCs w:val="24"/>
        </w:rPr>
      </w:pPr>
      <w:r w:rsidRPr="00BD1A8E">
        <w:rPr>
          <w:rFonts w:ascii="Bookman Old Style" w:hAnsi="Bookman Old Style"/>
          <w:sz w:val="24"/>
          <w:szCs w:val="24"/>
        </w:rPr>
        <w:t xml:space="preserve">Be part of the policy making process as provided for in Art.2 (opportunity to comment regulations before entry into force and regular public-private consultation and Art. 13 (set-up of National Trade Facilitation Committee (NTFC). </w:t>
      </w:r>
    </w:p>
    <w:p w14:paraId="3E516C05" w14:textId="77777777" w:rsidR="00FB5722" w:rsidRPr="00BD1A8E" w:rsidRDefault="00FB5722" w:rsidP="00FB5722">
      <w:pPr>
        <w:rPr>
          <w:rFonts w:ascii="Bookman Old Style" w:hAnsi="Bookman Old Style"/>
        </w:rPr>
      </w:pPr>
    </w:p>
    <w:p w14:paraId="54A9DBE0" w14:textId="77777777" w:rsidR="00FB5722" w:rsidRPr="00BD1A8E" w:rsidRDefault="00FB5722" w:rsidP="00FB5722">
      <w:pPr>
        <w:jc w:val="both"/>
        <w:rPr>
          <w:rFonts w:ascii="Bookman Old Style" w:hAnsi="Bookman Old Style"/>
          <w:b/>
          <w:sz w:val="24"/>
          <w:szCs w:val="24"/>
        </w:rPr>
      </w:pPr>
      <w:r w:rsidRPr="00BD1A8E">
        <w:rPr>
          <w:rFonts w:ascii="Bookman Old Style" w:hAnsi="Bookman Old Style"/>
          <w:b/>
          <w:sz w:val="24"/>
          <w:szCs w:val="24"/>
        </w:rPr>
        <w:t>5.4 TFA and Implementation Challenges</w:t>
      </w:r>
    </w:p>
    <w:p w14:paraId="1364F4F9" w14:textId="77777777" w:rsidR="00FB5722" w:rsidRPr="00BD1A8E" w:rsidRDefault="00FB5722" w:rsidP="00FB5722">
      <w:pPr>
        <w:jc w:val="both"/>
        <w:rPr>
          <w:rFonts w:ascii="Bookman Old Style" w:hAnsi="Bookman Old Style"/>
          <w:sz w:val="24"/>
          <w:szCs w:val="24"/>
        </w:rPr>
      </w:pPr>
      <w:r w:rsidRPr="00BD1A8E">
        <w:rPr>
          <w:rFonts w:ascii="Bookman Old Style" w:hAnsi="Bookman Old Style"/>
          <w:sz w:val="24"/>
          <w:szCs w:val="24"/>
        </w:rPr>
        <w:t>Studies confirm that most developing and least-developed countries surveyed were halfway near implementation or have already implemented a number of Trade Facilitation measures and that none would be starting the implementation of the TFA from zero (UNESCAP, 2014). Until developing countries and least-developed countries submit their category B and C commitments, it will be difficult to determine accurately which countries require assistance because of the challenges encountered to implement measures of the TFA. As documented by UNCTAD (2014).</w:t>
      </w:r>
      <w:r w:rsidRPr="00BD1A8E">
        <w:rPr>
          <w:rFonts w:ascii="Bookman Old Style" w:hAnsi="Bookman Old Style"/>
          <w:b/>
          <w:sz w:val="24"/>
          <w:szCs w:val="24"/>
        </w:rPr>
        <w:t xml:space="preserve"> </w:t>
      </w:r>
      <w:r w:rsidRPr="00BD1A8E">
        <w:rPr>
          <w:rFonts w:ascii="Bookman Old Style" w:hAnsi="Bookman Old Style"/>
          <w:sz w:val="24"/>
          <w:szCs w:val="24"/>
        </w:rPr>
        <w:t>Trade Facilitation is a priority for developing countries and developing countries are uncertain about the benefits of the TFA.</w:t>
      </w:r>
    </w:p>
    <w:p w14:paraId="2316AAB5" w14:textId="77777777" w:rsidR="00FB5722" w:rsidRPr="00BD1A8E" w:rsidRDefault="00FB5722" w:rsidP="00FB5722">
      <w:pPr>
        <w:jc w:val="both"/>
        <w:rPr>
          <w:rFonts w:ascii="Bookman Old Style" w:hAnsi="Bookman Old Style"/>
          <w:sz w:val="24"/>
          <w:szCs w:val="24"/>
        </w:rPr>
      </w:pPr>
      <w:r w:rsidRPr="00BD1A8E">
        <w:rPr>
          <w:rFonts w:ascii="Bookman Old Style" w:hAnsi="Bookman Old Style"/>
          <w:sz w:val="24"/>
          <w:szCs w:val="24"/>
        </w:rPr>
        <w:t>Some of the measures covered by the TFA are relatively easy to execute while others are difficult. Those harder to implement are (i) border agency cooperation (ii) formalities connected with importation, exportation and transit (iii) information publication and availability (iv) Lack of national coordination and political will (v) Absence of trade facilitation priority within national development planning (World Bank, 2006) (vi) Lack of legal framework (UNCTAD, 2014) (vii) Lack of resources or organizational framework, non-existent or limited understanding and knowledge of different trade facilitation measures, a lack of cooperation and mistrust between government agencies and an absence of communication between private and public stakeholders (UNCTAD 2014, World Bank 2006a).</w:t>
      </w:r>
    </w:p>
    <w:p w14:paraId="379FA8B6" w14:textId="77777777" w:rsidR="00FB5722" w:rsidRPr="00BD1A8E" w:rsidRDefault="00FB5722" w:rsidP="00FB5722">
      <w:pPr>
        <w:jc w:val="both"/>
        <w:rPr>
          <w:rFonts w:ascii="Bookman Old Style" w:hAnsi="Bookman Old Style"/>
          <w:sz w:val="24"/>
          <w:szCs w:val="24"/>
        </w:rPr>
      </w:pPr>
      <w:r w:rsidRPr="00BD1A8E">
        <w:rPr>
          <w:rFonts w:ascii="Bookman Old Style" w:hAnsi="Bookman Old Style"/>
          <w:sz w:val="24"/>
          <w:szCs w:val="24"/>
        </w:rPr>
        <w:t xml:space="preserve">Developing countries and least-developed countries have to decide whether and to what extent part of their limited financial resources should be </w:t>
      </w:r>
      <w:r w:rsidRPr="00BD1A8E">
        <w:rPr>
          <w:rFonts w:ascii="Bookman Old Style" w:hAnsi="Bookman Old Style"/>
          <w:sz w:val="24"/>
          <w:szCs w:val="24"/>
        </w:rPr>
        <w:lastRenderedPageBreak/>
        <w:t>allocated to trade facilitation reforms. This occurs because implementation costs are incurred immediately while benefits in terms of increased revenue and trade usually materialize completely only in the medium and long-term. The difficulties in estimating trade facilitation implementation costs are;</w:t>
      </w:r>
    </w:p>
    <w:p w14:paraId="0318287C" w14:textId="77777777" w:rsidR="00FB5722" w:rsidRPr="00BD1A8E" w:rsidRDefault="00FB5722" w:rsidP="00FB5722">
      <w:pPr>
        <w:pStyle w:val="ListParagraph"/>
        <w:numPr>
          <w:ilvl w:val="0"/>
          <w:numId w:val="66"/>
        </w:numPr>
        <w:spacing w:after="200" w:line="276" w:lineRule="auto"/>
        <w:jc w:val="both"/>
        <w:rPr>
          <w:rFonts w:ascii="Bookman Old Style" w:hAnsi="Bookman Old Style"/>
          <w:sz w:val="24"/>
          <w:szCs w:val="24"/>
        </w:rPr>
      </w:pPr>
      <w:r w:rsidRPr="00BD1A8E">
        <w:rPr>
          <w:rFonts w:ascii="Bookman Old Style" w:hAnsi="Bookman Old Style"/>
          <w:sz w:val="24"/>
          <w:szCs w:val="24"/>
        </w:rPr>
        <w:t>Trade facilitation reform is cross-cutting by nature and is rarely carried out independently of other broader policy objectives aimed at enhancing revenue collection and reducing trade costs. There is often no specific funding allocation dedication to adoption and implementation of specific trade facilitation measures, making it particularly difficult to identify the corresponding costs.</w:t>
      </w:r>
    </w:p>
    <w:p w14:paraId="50D5D2C5" w14:textId="77777777" w:rsidR="00FB5722" w:rsidRPr="00BD1A8E" w:rsidRDefault="00FB5722" w:rsidP="00FB5722">
      <w:pPr>
        <w:pStyle w:val="ListParagraph"/>
        <w:numPr>
          <w:ilvl w:val="0"/>
          <w:numId w:val="66"/>
        </w:numPr>
        <w:spacing w:after="200" w:line="276" w:lineRule="auto"/>
        <w:jc w:val="both"/>
        <w:rPr>
          <w:rFonts w:ascii="Bookman Old Style" w:hAnsi="Bookman Old Style"/>
          <w:sz w:val="24"/>
          <w:szCs w:val="24"/>
        </w:rPr>
      </w:pPr>
      <w:r w:rsidRPr="00BD1A8E">
        <w:rPr>
          <w:rFonts w:ascii="Bookman Old Style" w:hAnsi="Bookman Old Style"/>
          <w:sz w:val="24"/>
          <w:szCs w:val="24"/>
        </w:rPr>
        <w:t xml:space="preserve">Implementation costs of trade facilitation can take various forms. A distinction is usually made between the initial upfront costs incurred with the introduction of trade facilities on measures, upgrade and expansion costs and the on-going operational costs. </w:t>
      </w:r>
    </w:p>
    <w:p w14:paraId="3603B27A" w14:textId="77777777" w:rsidR="00FB5722" w:rsidRPr="00BD1A8E" w:rsidRDefault="00FB5722" w:rsidP="00FB5722">
      <w:pPr>
        <w:jc w:val="both"/>
        <w:rPr>
          <w:rFonts w:ascii="Bookman Old Style" w:hAnsi="Bookman Old Style"/>
          <w:sz w:val="24"/>
          <w:szCs w:val="24"/>
        </w:rPr>
      </w:pPr>
      <w:r w:rsidRPr="00BD1A8E">
        <w:rPr>
          <w:rFonts w:ascii="Bookman Old Style" w:hAnsi="Bookman Old Style"/>
          <w:sz w:val="24"/>
          <w:szCs w:val="24"/>
        </w:rPr>
        <w:t>There are eight different types of interrelated implementation costs;</w:t>
      </w:r>
    </w:p>
    <w:p w14:paraId="46E2B3CF" w14:textId="77777777" w:rsidR="00FB5722" w:rsidRPr="00BD1A8E" w:rsidRDefault="00FB5722" w:rsidP="00FB5722">
      <w:pPr>
        <w:pStyle w:val="ListParagraph"/>
        <w:numPr>
          <w:ilvl w:val="0"/>
          <w:numId w:val="67"/>
        </w:numPr>
        <w:spacing w:after="200" w:line="276" w:lineRule="auto"/>
        <w:jc w:val="both"/>
        <w:rPr>
          <w:rFonts w:ascii="Bookman Old Style" w:hAnsi="Bookman Old Style"/>
          <w:sz w:val="24"/>
          <w:szCs w:val="24"/>
        </w:rPr>
      </w:pPr>
      <w:r w:rsidRPr="00BD1A8E">
        <w:rPr>
          <w:rFonts w:ascii="Bookman Old Style" w:hAnsi="Bookman Old Style"/>
          <w:b/>
          <w:sz w:val="24"/>
          <w:szCs w:val="24"/>
        </w:rPr>
        <w:t>Diagnostic (Diagnostic and needs assessment costs):</w:t>
      </w:r>
      <w:r w:rsidRPr="00BD1A8E">
        <w:rPr>
          <w:rFonts w:ascii="Bookman Old Style" w:hAnsi="Bookman Old Style"/>
          <w:sz w:val="24"/>
          <w:szCs w:val="24"/>
        </w:rPr>
        <w:t xml:space="preserve"> These are lost that arise before the actual implementation of trade facilitation. It usually involves time, national and external experts to consult collection of information and formulation of action plans.</w:t>
      </w:r>
    </w:p>
    <w:p w14:paraId="0218DC9A" w14:textId="77777777" w:rsidR="00FB5722" w:rsidRPr="00BD1A8E" w:rsidRDefault="00FB5722" w:rsidP="00FB5722">
      <w:pPr>
        <w:pStyle w:val="ListParagraph"/>
        <w:numPr>
          <w:ilvl w:val="0"/>
          <w:numId w:val="67"/>
        </w:numPr>
        <w:spacing w:after="200" w:line="276" w:lineRule="auto"/>
        <w:jc w:val="both"/>
        <w:rPr>
          <w:rFonts w:ascii="Bookman Old Style" w:hAnsi="Bookman Old Style"/>
          <w:sz w:val="24"/>
          <w:szCs w:val="24"/>
        </w:rPr>
      </w:pPr>
      <w:r w:rsidRPr="00BD1A8E">
        <w:rPr>
          <w:rFonts w:ascii="Bookman Old Style" w:hAnsi="Bookman Old Style"/>
          <w:b/>
          <w:sz w:val="24"/>
          <w:szCs w:val="24"/>
        </w:rPr>
        <w:t>Regulatory (Regulatory and legislative costs):</w:t>
      </w:r>
      <w:r w:rsidRPr="00BD1A8E">
        <w:rPr>
          <w:rFonts w:ascii="Bookman Old Style" w:hAnsi="Bookman Old Style"/>
          <w:sz w:val="24"/>
          <w:szCs w:val="24"/>
        </w:rPr>
        <w:t xml:space="preserve"> This involves adopting new legislation or amending existing legislation in order to implement specific trade facilitation measures. </w:t>
      </w:r>
    </w:p>
    <w:p w14:paraId="0ED3AF9A" w14:textId="77777777" w:rsidR="00FB5722" w:rsidRPr="00BD1A8E" w:rsidRDefault="00FB5722" w:rsidP="00FB5722">
      <w:pPr>
        <w:pStyle w:val="ListParagraph"/>
        <w:numPr>
          <w:ilvl w:val="0"/>
          <w:numId w:val="67"/>
        </w:numPr>
        <w:spacing w:after="200" w:line="276" w:lineRule="auto"/>
        <w:jc w:val="both"/>
        <w:rPr>
          <w:rFonts w:ascii="Bookman Old Style" w:hAnsi="Bookman Old Style"/>
          <w:sz w:val="24"/>
          <w:szCs w:val="24"/>
        </w:rPr>
      </w:pPr>
      <w:r w:rsidRPr="00BD1A8E">
        <w:rPr>
          <w:rFonts w:ascii="Bookman Old Style" w:hAnsi="Bookman Old Style"/>
          <w:b/>
          <w:sz w:val="24"/>
          <w:szCs w:val="24"/>
        </w:rPr>
        <w:t>Institutional (Institutional and organizational costs):</w:t>
      </w:r>
      <w:r w:rsidRPr="00BD1A8E">
        <w:rPr>
          <w:rFonts w:ascii="Bookman Old Style" w:hAnsi="Bookman Old Style"/>
          <w:sz w:val="24"/>
          <w:szCs w:val="24"/>
        </w:rPr>
        <w:t xml:space="preserve"> These are costs incurred when new units have to be established or existing units have to be restructured in order to perform specific trade facilitation functions more efficiently. </w:t>
      </w:r>
    </w:p>
    <w:p w14:paraId="6A046E80" w14:textId="77777777" w:rsidR="00FB5722" w:rsidRPr="00BD1A8E" w:rsidRDefault="00FB5722" w:rsidP="00FB5722">
      <w:pPr>
        <w:pStyle w:val="ListParagraph"/>
        <w:numPr>
          <w:ilvl w:val="0"/>
          <w:numId w:val="67"/>
        </w:numPr>
        <w:spacing w:after="200" w:line="276" w:lineRule="auto"/>
        <w:jc w:val="both"/>
        <w:rPr>
          <w:rFonts w:ascii="Bookman Old Style" w:hAnsi="Bookman Old Style"/>
          <w:sz w:val="24"/>
          <w:szCs w:val="24"/>
        </w:rPr>
      </w:pPr>
      <w:r w:rsidRPr="00BD1A8E">
        <w:rPr>
          <w:rFonts w:ascii="Bookman Old Style" w:hAnsi="Bookman Old Style"/>
          <w:b/>
          <w:sz w:val="24"/>
          <w:szCs w:val="24"/>
        </w:rPr>
        <w:t>Training (Human resources and Training costs):</w:t>
      </w:r>
      <w:r w:rsidRPr="00BD1A8E">
        <w:rPr>
          <w:rFonts w:ascii="Bookman Old Style" w:hAnsi="Bookman Old Style"/>
          <w:sz w:val="24"/>
          <w:szCs w:val="24"/>
        </w:rPr>
        <w:t xml:space="preserve"> Training costs depends on whether new expert staffs are hired or whether internal or transferred staffs are trained on the job or in training centers. </w:t>
      </w:r>
    </w:p>
    <w:p w14:paraId="47102740" w14:textId="77777777" w:rsidR="00FB5722" w:rsidRPr="00BD1A8E" w:rsidRDefault="00FB5722" w:rsidP="00FB5722">
      <w:pPr>
        <w:pStyle w:val="ListParagraph"/>
        <w:numPr>
          <w:ilvl w:val="0"/>
          <w:numId w:val="67"/>
        </w:numPr>
        <w:spacing w:after="200" w:line="276" w:lineRule="auto"/>
        <w:jc w:val="both"/>
        <w:rPr>
          <w:rFonts w:ascii="Bookman Old Style" w:hAnsi="Bookman Old Style"/>
          <w:sz w:val="24"/>
          <w:szCs w:val="24"/>
        </w:rPr>
      </w:pPr>
      <w:r w:rsidRPr="00BD1A8E">
        <w:rPr>
          <w:rFonts w:ascii="Bookman Old Style" w:hAnsi="Bookman Old Style"/>
          <w:b/>
          <w:sz w:val="24"/>
          <w:szCs w:val="24"/>
        </w:rPr>
        <w:t>Equipment and infrastructure costs:</w:t>
      </w:r>
      <w:r w:rsidRPr="00BD1A8E">
        <w:rPr>
          <w:rFonts w:ascii="Bookman Old Style" w:hAnsi="Bookman Old Style"/>
          <w:sz w:val="24"/>
          <w:szCs w:val="24"/>
        </w:rPr>
        <w:t xml:space="preserve"> This occurs when you constrict or acquire facilities and accommodation and install and upgrade new or additional implementation tools, including information and communication technology (ICTs) such as virtual network, automated solutions and scanners (OECD, 2009).</w:t>
      </w:r>
    </w:p>
    <w:p w14:paraId="51BE9AAA" w14:textId="77777777" w:rsidR="00FB5722" w:rsidRPr="00BD1A8E" w:rsidRDefault="00FB5722" w:rsidP="00FB5722">
      <w:pPr>
        <w:pStyle w:val="ListParagraph"/>
        <w:numPr>
          <w:ilvl w:val="0"/>
          <w:numId w:val="67"/>
        </w:numPr>
        <w:spacing w:after="200" w:line="276" w:lineRule="auto"/>
        <w:jc w:val="both"/>
        <w:rPr>
          <w:rFonts w:ascii="Bookman Old Style" w:hAnsi="Bookman Old Style"/>
          <w:sz w:val="24"/>
          <w:szCs w:val="24"/>
        </w:rPr>
      </w:pPr>
      <w:r w:rsidRPr="00BD1A8E">
        <w:rPr>
          <w:rFonts w:ascii="Bookman Old Style" w:hAnsi="Bookman Old Style"/>
          <w:b/>
          <w:sz w:val="24"/>
          <w:szCs w:val="24"/>
        </w:rPr>
        <w:t>Awareness-raising (Awareness-raising and change management costs):</w:t>
      </w:r>
      <w:r w:rsidRPr="00BD1A8E">
        <w:rPr>
          <w:rFonts w:ascii="Bookman Old Style" w:hAnsi="Bookman Old Style"/>
          <w:sz w:val="24"/>
          <w:szCs w:val="24"/>
        </w:rPr>
        <w:t xml:space="preserve"> These costs arise when transparency and communication strategies are implemented to promote a greater involvement of all relevant stakeholders. </w:t>
      </w:r>
    </w:p>
    <w:p w14:paraId="1840527D" w14:textId="77777777" w:rsidR="00FB5722" w:rsidRPr="00BD1A8E" w:rsidRDefault="00FB5722" w:rsidP="00FB5722">
      <w:pPr>
        <w:pStyle w:val="ListParagraph"/>
        <w:numPr>
          <w:ilvl w:val="0"/>
          <w:numId w:val="67"/>
        </w:numPr>
        <w:spacing w:after="200" w:line="276" w:lineRule="auto"/>
        <w:jc w:val="both"/>
        <w:rPr>
          <w:rFonts w:ascii="Bookman Old Style" w:hAnsi="Bookman Old Style"/>
          <w:sz w:val="24"/>
          <w:szCs w:val="24"/>
        </w:rPr>
      </w:pPr>
      <w:r w:rsidRPr="00BD1A8E">
        <w:rPr>
          <w:rFonts w:ascii="Bookman Old Style" w:hAnsi="Bookman Old Style"/>
          <w:b/>
          <w:sz w:val="24"/>
          <w:szCs w:val="24"/>
        </w:rPr>
        <w:t>Political (Political and resistance costs):</w:t>
      </w:r>
      <w:r w:rsidRPr="00BD1A8E">
        <w:rPr>
          <w:rFonts w:ascii="Bookman Old Style" w:hAnsi="Bookman Old Style"/>
          <w:sz w:val="24"/>
          <w:szCs w:val="24"/>
        </w:rPr>
        <w:t xml:space="preserve"> Such costs are not readily quantifiable. This cost may arise as a result of active or passive </w:t>
      </w:r>
      <w:r w:rsidRPr="00BD1A8E">
        <w:rPr>
          <w:rFonts w:ascii="Bookman Old Style" w:hAnsi="Bookman Old Style"/>
          <w:sz w:val="24"/>
          <w:szCs w:val="24"/>
        </w:rPr>
        <w:lastRenderedPageBreak/>
        <w:t>resistance and opposition from relevant stakeholders including policy-makers, staff and the private sector to the development and implementation of specific trade facilitation measures (Duval, 2006).</w:t>
      </w:r>
    </w:p>
    <w:p w14:paraId="76A93A02" w14:textId="77777777" w:rsidR="00FB5722" w:rsidRPr="00BD1A8E" w:rsidRDefault="00FB5722" w:rsidP="00FB5722">
      <w:pPr>
        <w:pStyle w:val="ListParagraph"/>
        <w:numPr>
          <w:ilvl w:val="0"/>
          <w:numId w:val="67"/>
        </w:numPr>
        <w:spacing w:after="200" w:line="276" w:lineRule="auto"/>
        <w:jc w:val="both"/>
        <w:rPr>
          <w:rFonts w:ascii="Bookman Old Style" w:hAnsi="Bookman Old Style"/>
          <w:sz w:val="24"/>
          <w:szCs w:val="24"/>
        </w:rPr>
      </w:pPr>
      <w:r w:rsidRPr="00BD1A8E">
        <w:rPr>
          <w:rFonts w:ascii="Bookman Old Style" w:hAnsi="Bookman Old Style"/>
          <w:b/>
          <w:sz w:val="24"/>
          <w:szCs w:val="24"/>
        </w:rPr>
        <w:t>Operational and Maintenance costs:</w:t>
      </w:r>
      <w:r w:rsidRPr="00BD1A8E">
        <w:rPr>
          <w:rFonts w:ascii="Bookman Old Style" w:hAnsi="Bookman Old Style"/>
          <w:sz w:val="24"/>
          <w:szCs w:val="24"/>
        </w:rPr>
        <w:t xml:space="preserve"> This consist mainly of the remuneration of staff or experts and the maintenance and replacement of equipment such as software or computers once trade facilitation measures have been introduced.   </w:t>
      </w:r>
    </w:p>
    <w:p w14:paraId="55234C32" w14:textId="77777777" w:rsidR="00FB5722" w:rsidRPr="00BD1A8E" w:rsidRDefault="00FB5722" w:rsidP="00FB5722">
      <w:pPr>
        <w:jc w:val="both"/>
        <w:rPr>
          <w:rFonts w:ascii="Bookman Old Style" w:hAnsi="Bookman Old Style"/>
          <w:b/>
          <w:sz w:val="24"/>
          <w:szCs w:val="24"/>
        </w:rPr>
      </w:pPr>
      <w:r w:rsidRPr="00BD1A8E">
        <w:rPr>
          <w:rFonts w:ascii="Bookman Old Style" w:hAnsi="Bookman Old Style"/>
          <w:sz w:val="24"/>
          <w:szCs w:val="24"/>
        </w:rPr>
        <w:t>Implementation costs vary according to each country’s unique circumstances including its trade facilitation reforms initial state needs, priorities and desired level of ambition. For example, some countries might have existing on-going trade facilitation measures and may want to improve or expand with additional investments.</w:t>
      </w:r>
    </w:p>
    <w:p w14:paraId="462F028A" w14:textId="77777777" w:rsidR="00FB5722" w:rsidRPr="00BD1A8E" w:rsidRDefault="00FB5722" w:rsidP="00FB5722">
      <w:pPr>
        <w:pStyle w:val="ListParagraph"/>
        <w:numPr>
          <w:ilvl w:val="0"/>
          <w:numId w:val="68"/>
        </w:numPr>
        <w:spacing w:after="200" w:line="276" w:lineRule="auto"/>
        <w:jc w:val="both"/>
        <w:rPr>
          <w:rFonts w:ascii="Bookman Old Style" w:hAnsi="Bookman Old Style"/>
          <w:sz w:val="24"/>
          <w:szCs w:val="24"/>
        </w:rPr>
      </w:pPr>
      <w:r w:rsidRPr="00BD1A8E">
        <w:rPr>
          <w:rFonts w:ascii="Bookman Old Style" w:hAnsi="Bookman Old Style"/>
          <w:sz w:val="24"/>
          <w:szCs w:val="24"/>
        </w:rPr>
        <w:t xml:space="preserve">The magnitude of implementation cost depends on the speed and pace of the implementation and the use of national or international expertise.   </w:t>
      </w:r>
    </w:p>
    <w:p w14:paraId="148142F3" w14:textId="77777777" w:rsidR="00FB5722" w:rsidRPr="00BD1A8E" w:rsidRDefault="00FB5722" w:rsidP="00FB5722">
      <w:pPr>
        <w:pStyle w:val="ListParagraph"/>
        <w:numPr>
          <w:ilvl w:val="0"/>
          <w:numId w:val="68"/>
        </w:numPr>
        <w:spacing w:after="200" w:line="276" w:lineRule="auto"/>
        <w:jc w:val="both"/>
        <w:rPr>
          <w:rFonts w:ascii="Bookman Old Style" w:hAnsi="Bookman Old Style"/>
          <w:sz w:val="24"/>
          <w:szCs w:val="24"/>
        </w:rPr>
      </w:pPr>
      <w:r w:rsidRPr="00BD1A8E">
        <w:rPr>
          <w:rFonts w:ascii="Bookman Old Style" w:hAnsi="Bookman Old Style"/>
          <w:sz w:val="24"/>
          <w:szCs w:val="24"/>
        </w:rPr>
        <w:t xml:space="preserve">The data on implementation costs collected might not be entirely representative of the actual range of the implementation costs of specific trade facilitation measures for which information is only available for a couple of countries. </w:t>
      </w:r>
    </w:p>
    <w:p w14:paraId="3DF21D73" w14:textId="77777777" w:rsidR="00FB5722" w:rsidRPr="00BD1A8E" w:rsidRDefault="00FB5722" w:rsidP="00FB5722">
      <w:pPr>
        <w:pStyle w:val="ListParagraph"/>
        <w:numPr>
          <w:ilvl w:val="0"/>
          <w:numId w:val="68"/>
        </w:numPr>
        <w:spacing w:after="200" w:line="276" w:lineRule="auto"/>
        <w:jc w:val="both"/>
        <w:rPr>
          <w:rFonts w:ascii="Bookman Old Style" w:hAnsi="Bookman Old Style"/>
          <w:sz w:val="24"/>
          <w:szCs w:val="24"/>
        </w:rPr>
      </w:pPr>
      <w:r w:rsidRPr="00BD1A8E">
        <w:rPr>
          <w:rFonts w:ascii="Bookman Old Style" w:hAnsi="Bookman Old Style"/>
          <w:sz w:val="24"/>
          <w:szCs w:val="24"/>
        </w:rPr>
        <w:t xml:space="preserve">Trade facilitation measures related to transparency and the release and clearance of goods tend to involve smaller implementation costs than measure related to formalities requirements, customs automation and customs and border agency cooperation, which often entail a wider range of costs components. </w:t>
      </w:r>
    </w:p>
    <w:p w14:paraId="0C608EF6" w14:textId="77777777" w:rsidR="00FB5722" w:rsidRPr="00BD1A8E" w:rsidRDefault="00FB5722" w:rsidP="00FB5722">
      <w:pPr>
        <w:pStyle w:val="ListParagraph"/>
        <w:numPr>
          <w:ilvl w:val="0"/>
          <w:numId w:val="68"/>
        </w:numPr>
        <w:spacing w:after="200" w:line="276" w:lineRule="auto"/>
        <w:jc w:val="both"/>
        <w:rPr>
          <w:rFonts w:ascii="Bookman Old Style" w:hAnsi="Bookman Old Style"/>
          <w:sz w:val="24"/>
          <w:szCs w:val="24"/>
        </w:rPr>
      </w:pPr>
      <w:r w:rsidRPr="00BD1A8E">
        <w:rPr>
          <w:rFonts w:ascii="Bookman Old Style" w:hAnsi="Bookman Old Style"/>
          <w:sz w:val="24"/>
          <w:szCs w:val="24"/>
        </w:rPr>
        <w:t xml:space="preserve">Trade facilitation measures appear on average to be less costly than broader initiatives such as customs modernization including construction and upgrading of border facilities and transport infrastructural upgrading such as road, rail and port modernization and infrastructure. </w:t>
      </w:r>
    </w:p>
    <w:p w14:paraId="6F592019" w14:textId="77777777" w:rsidR="00FB5722" w:rsidRPr="00BD1A8E" w:rsidRDefault="00FB5722" w:rsidP="00FB5722">
      <w:pPr>
        <w:jc w:val="both"/>
        <w:rPr>
          <w:rFonts w:ascii="Bookman Old Style" w:hAnsi="Bookman Old Style"/>
          <w:sz w:val="24"/>
          <w:szCs w:val="24"/>
        </w:rPr>
      </w:pPr>
      <w:r w:rsidRPr="00BD1A8E">
        <w:rPr>
          <w:rFonts w:ascii="Bookman Old Style" w:hAnsi="Bookman Old Style"/>
          <w:sz w:val="24"/>
          <w:szCs w:val="24"/>
        </w:rPr>
        <w:t>High Implementation Costs are incurred when issues of transparency and predictability are involved.</w:t>
      </w:r>
      <w:r w:rsidRPr="00BD1A8E">
        <w:rPr>
          <w:rFonts w:ascii="Bookman Old Style" w:hAnsi="Bookman Old Style"/>
          <w:b/>
          <w:sz w:val="24"/>
          <w:szCs w:val="24"/>
        </w:rPr>
        <w:t xml:space="preserve"> </w:t>
      </w:r>
      <w:r w:rsidRPr="00BD1A8E">
        <w:rPr>
          <w:rFonts w:ascii="Bookman Old Style" w:hAnsi="Bookman Old Style"/>
          <w:sz w:val="24"/>
          <w:szCs w:val="24"/>
        </w:rPr>
        <w:t xml:space="preserve"> Transparency-related measures relying on ICT tend to entail relatively larger implementation costs.</w:t>
      </w:r>
    </w:p>
    <w:p w14:paraId="493149C8" w14:textId="77777777" w:rsidR="00FB5722" w:rsidRPr="00BD1A8E" w:rsidRDefault="00FB5722" w:rsidP="00FB5722">
      <w:pPr>
        <w:pStyle w:val="ListParagraph"/>
        <w:numPr>
          <w:ilvl w:val="0"/>
          <w:numId w:val="69"/>
        </w:numPr>
        <w:spacing w:after="200" w:line="276" w:lineRule="auto"/>
        <w:jc w:val="both"/>
        <w:rPr>
          <w:rFonts w:ascii="Bookman Old Style" w:hAnsi="Bookman Old Style"/>
          <w:sz w:val="24"/>
          <w:szCs w:val="24"/>
        </w:rPr>
      </w:pPr>
      <w:r w:rsidRPr="00BD1A8E">
        <w:rPr>
          <w:rFonts w:ascii="Bookman Old Style" w:hAnsi="Bookman Old Style"/>
          <w:b/>
          <w:sz w:val="24"/>
          <w:szCs w:val="24"/>
        </w:rPr>
        <w:t>Release and clearance of goods:</w:t>
      </w:r>
      <w:r w:rsidRPr="00BD1A8E">
        <w:rPr>
          <w:rFonts w:ascii="Bookman Old Style" w:hAnsi="Bookman Old Style"/>
          <w:sz w:val="24"/>
          <w:szCs w:val="24"/>
        </w:rPr>
        <w:t xml:space="preserve"> Post-clearance audit control and risk assessment procedures appear to be the measures with the relatively highest inception costs. Both measures usually require the recruitment and training of specialized staff.</w:t>
      </w:r>
    </w:p>
    <w:p w14:paraId="02E84A50" w14:textId="77777777" w:rsidR="00FB5722" w:rsidRPr="00BD1A8E" w:rsidRDefault="00FB5722" w:rsidP="00FB5722">
      <w:pPr>
        <w:pStyle w:val="ListParagraph"/>
        <w:numPr>
          <w:ilvl w:val="0"/>
          <w:numId w:val="69"/>
        </w:numPr>
        <w:spacing w:after="200" w:line="276" w:lineRule="auto"/>
        <w:jc w:val="both"/>
        <w:rPr>
          <w:rFonts w:ascii="Bookman Old Style" w:hAnsi="Bookman Old Style"/>
          <w:sz w:val="24"/>
          <w:szCs w:val="24"/>
        </w:rPr>
      </w:pPr>
      <w:r w:rsidRPr="00BD1A8E">
        <w:rPr>
          <w:rFonts w:ascii="Bookman Old Style" w:hAnsi="Bookman Old Style"/>
          <w:b/>
          <w:sz w:val="24"/>
          <w:szCs w:val="24"/>
        </w:rPr>
        <w:t>Formalities, documentation requirements and customs automation:</w:t>
      </w:r>
      <w:r w:rsidRPr="00BD1A8E">
        <w:rPr>
          <w:rFonts w:ascii="Bookman Old Style" w:hAnsi="Bookman Old Style"/>
          <w:sz w:val="24"/>
          <w:szCs w:val="24"/>
        </w:rPr>
        <w:t xml:space="preserve"> The establishment of a single window and customs automation systems seem to be among the most costly trade facilitation measures. High set-up costs of both measures arise from </w:t>
      </w:r>
      <w:r w:rsidRPr="00BD1A8E">
        <w:rPr>
          <w:rFonts w:ascii="Bookman Old Style" w:hAnsi="Bookman Old Style"/>
          <w:sz w:val="24"/>
          <w:szCs w:val="24"/>
        </w:rPr>
        <w:lastRenderedPageBreak/>
        <w:t>high ICT incurring hardware costs to acquire network equipment and software costs to integrate the participating agencies IT systems. Both measures also require regulatory, institutional, infrastructural and human resources changes.</w:t>
      </w:r>
    </w:p>
    <w:p w14:paraId="24778B92" w14:textId="77777777" w:rsidR="00FB5722" w:rsidRPr="00BD1A8E" w:rsidRDefault="00FB5722" w:rsidP="00FB5722">
      <w:pPr>
        <w:pStyle w:val="ListParagraph"/>
        <w:numPr>
          <w:ilvl w:val="0"/>
          <w:numId w:val="69"/>
        </w:numPr>
        <w:spacing w:after="200" w:line="276" w:lineRule="auto"/>
        <w:jc w:val="both"/>
        <w:rPr>
          <w:rFonts w:ascii="Bookman Old Style" w:hAnsi="Bookman Old Style"/>
          <w:sz w:val="24"/>
          <w:szCs w:val="24"/>
        </w:rPr>
      </w:pPr>
      <w:r w:rsidRPr="00BD1A8E">
        <w:rPr>
          <w:rFonts w:ascii="Bookman Old Style" w:hAnsi="Bookman Old Style"/>
          <w:b/>
          <w:sz w:val="24"/>
          <w:szCs w:val="24"/>
        </w:rPr>
        <w:t>Customs and border agencies cooperation:</w:t>
      </w:r>
      <w:r w:rsidRPr="00BD1A8E">
        <w:rPr>
          <w:rFonts w:ascii="Bookman Old Style" w:hAnsi="Bookman Old Style"/>
          <w:sz w:val="24"/>
          <w:szCs w:val="24"/>
        </w:rPr>
        <w:t xml:space="preserve"> Inception costs of projects related to integrated border management and one-stop border posts tend to be very costly also. Integrated border management programmes harmonize, streamline and simplify the border management systems of not only customs but all border management agencies such as immigration, transport, quarantine, sanitary and photo-sanitary, environment, standard and consumer protection agencies. Initiatives that further promote border management coordination through information sharing, joint use of some facilities, administrative authority delegation, cross designation of officials (Mckinden et al, 2011)</w:t>
      </w:r>
    </w:p>
    <w:p w14:paraId="193235D6" w14:textId="77777777" w:rsidR="00FB5722" w:rsidRPr="00BD1A8E" w:rsidRDefault="00FB5722" w:rsidP="00FB5722">
      <w:pPr>
        <w:pStyle w:val="ListParagraph"/>
        <w:jc w:val="both"/>
        <w:rPr>
          <w:rFonts w:ascii="Bookman Old Style" w:hAnsi="Bookman Old Style"/>
          <w:sz w:val="24"/>
          <w:szCs w:val="24"/>
        </w:rPr>
      </w:pPr>
      <w:r w:rsidRPr="00BD1A8E">
        <w:rPr>
          <w:rFonts w:ascii="Bookman Old Style" w:hAnsi="Bookman Old Style"/>
          <w:sz w:val="24"/>
          <w:szCs w:val="24"/>
        </w:rPr>
        <w:t>Other initiatives are;</w:t>
      </w:r>
    </w:p>
    <w:p w14:paraId="36481C66" w14:textId="0368229B" w:rsidR="00FB5722" w:rsidRPr="00BD1A8E" w:rsidRDefault="00FB5722" w:rsidP="00FB5722">
      <w:pPr>
        <w:pStyle w:val="ListParagraph"/>
        <w:numPr>
          <w:ilvl w:val="0"/>
          <w:numId w:val="70"/>
        </w:numPr>
        <w:spacing w:after="200" w:line="276" w:lineRule="auto"/>
        <w:jc w:val="both"/>
        <w:rPr>
          <w:rFonts w:ascii="Bookman Old Style" w:hAnsi="Bookman Old Style"/>
          <w:sz w:val="24"/>
          <w:szCs w:val="24"/>
        </w:rPr>
      </w:pPr>
      <w:r w:rsidRPr="00BD1A8E">
        <w:rPr>
          <w:rFonts w:ascii="Bookman Old Style" w:hAnsi="Bookman Old Style"/>
          <w:sz w:val="24"/>
          <w:szCs w:val="24"/>
        </w:rPr>
        <w:t xml:space="preserve">Establishment of one or more one-stop border posts coordinating </w:t>
      </w:r>
      <w:r w:rsidR="008C2E72" w:rsidRPr="00BD1A8E">
        <w:rPr>
          <w:rFonts w:ascii="Bookman Old Style" w:hAnsi="Bookman Old Style"/>
          <w:sz w:val="24"/>
          <w:szCs w:val="24"/>
        </w:rPr>
        <w:t>neighbouring</w:t>
      </w:r>
      <w:r w:rsidRPr="00BD1A8E">
        <w:rPr>
          <w:rFonts w:ascii="Bookman Old Style" w:hAnsi="Bookman Old Style"/>
          <w:sz w:val="24"/>
          <w:szCs w:val="24"/>
        </w:rPr>
        <w:t xml:space="preserve"> countries import, export and transit procedures in order to avoid duplicating regulatory formalities on both sides.</w:t>
      </w:r>
    </w:p>
    <w:p w14:paraId="07763DBD" w14:textId="77777777" w:rsidR="00FB5722" w:rsidRPr="00BD1A8E" w:rsidRDefault="00FB5722" w:rsidP="00FB5722">
      <w:pPr>
        <w:pStyle w:val="ListParagraph"/>
        <w:numPr>
          <w:ilvl w:val="0"/>
          <w:numId w:val="70"/>
        </w:numPr>
        <w:spacing w:after="200" w:line="276" w:lineRule="auto"/>
        <w:jc w:val="both"/>
        <w:rPr>
          <w:rFonts w:ascii="Bookman Old Style" w:hAnsi="Bookman Old Style"/>
          <w:sz w:val="24"/>
          <w:szCs w:val="24"/>
        </w:rPr>
      </w:pPr>
      <w:r w:rsidRPr="00BD1A8E">
        <w:rPr>
          <w:rFonts w:ascii="Bookman Old Style" w:hAnsi="Bookman Old Style"/>
          <w:sz w:val="24"/>
          <w:szCs w:val="24"/>
        </w:rPr>
        <w:t>Equipment and infrastructure including ICT and refurbishing border stations, along with training activities to ensure border management staff acquires the right expertise.</w:t>
      </w:r>
    </w:p>
    <w:p w14:paraId="5E2B367A" w14:textId="77777777" w:rsidR="00FB5722" w:rsidRPr="00BD1A8E" w:rsidRDefault="00FB5722" w:rsidP="00FB5722">
      <w:pPr>
        <w:pStyle w:val="ListParagraph"/>
        <w:numPr>
          <w:ilvl w:val="0"/>
          <w:numId w:val="69"/>
        </w:numPr>
        <w:spacing w:after="200" w:line="276" w:lineRule="auto"/>
        <w:jc w:val="both"/>
        <w:rPr>
          <w:rFonts w:ascii="Bookman Old Style" w:hAnsi="Bookman Old Style"/>
          <w:b/>
          <w:sz w:val="24"/>
          <w:szCs w:val="24"/>
        </w:rPr>
      </w:pPr>
      <w:r w:rsidRPr="00BD1A8E">
        <w:rPr>
          <w:rFonts w:ascii="Bookman Old Style" w:hAnsi="Bookman Old Style"/>
          <w:b/>
          <w:sz w:val="24"/>
          <w:szCs w:val="24"/>
        </w:rPr>
        <w:t>Other trade facilitation-related areas:</w:t>
      </w:r>
      <w:r w:rsidRPr="00BD1A8E">
        <w:rPr>
          <w:rFonts w:ascii="Bookman Old Style" w:hAnsi="Bookman Old Style"/>
          <w:sz w:val="24"/>
          <w:szCs w:val="24"/>
        </w:rPr>
        <w:t xml:space="preserve"> </w:t>
      </w:r>
      <w:r w:rsidRPr="00BD1A8E">
        <w:rPr>
          <w:rFonts w:ascii="Bookman Old Style" w:hAnsi="Bookman Old Style"/>
          <w:b/>
          <w:sz w:val="24"/>
          <w:szCs w:val="24"/>
        </w:rPr>
        <w:t>Areas where inception costs are likely to be low</w:t>
      </w:r>
      <w:r w:rsidRPr="00BD1A8E">
        <w:rPr>
          <w:rFonts w:ascii="Bookman Old Style" w:hAnsi="Bookman Old Style"/>
          <w:sz w:val="24"/>
          <w:szCs w:val="24"/>
        </w:rPr>
        <w:t xml:space="preserve"> Measures related to disciplines on fees and charges, removal of consular fees, guarantee of freedom of transit routes and the abolition of escorts for goods in transit. </w:t>
      </w:r>
    </w:p>
    <w:p w14:paraId="3AD5D6B7" w14:textId="77777777" w:rsidR="00FB5722" w:rsidRPr="00BD1A8E" w:rsidRDefault="00FB5722" w:rsidP="00FB5722">
      <w:pPr>
        <w:jc w:val="both"/>
        <w:rPr>
          <w:rFonts w:ascii="Bookman Old Style" w:hAnsi="Bookman Old Style"/>
          <w:sz w:val="24"/>
          <w:szCs w:val="24"/>
        </w:rPr>
      </w:pPr>
      <w:r w:rsidRPr="00BD1A8E">
        <w:rPr>
          <w:rFonts w:ascii="Bookman Old Style" w:hAnsi="Bookman Old Style"/>
          <w:sz w:val="24"/>
          <w:szCs w:val="24"/>
        </w:rPr>
        <w:t xml:space="preserve">The WTO decided that the principle of special and differential treatment (S&amp;D) for developing countries and least-developed countries “should extend beyond the granting of traditional transition periods for implementing commitments. The extent and timing of entering into commitments shall be related to the implementation capacities of developing and least-developed countries. Developed countries reduce and eliminate losses faced by their firms when they provide assistance and support for capacity building to developing countries and least-developed countries so that they can fully implement the TFA. </w:t>
      </w:r>
    </w:p>
    <w:p w14:paraId="389AEFA4" w14:textId="77777777" w:rsidR="00FB5722" w:rsidRPr="00BD1A8E" w:rsidRDefault="00FB5722" w:rsidP="00FB5722">
      <w:pPr>
        <w:jc w:val="both"/>
        <w:rPr>
          <w:rFonts w:ascii="Bookman Old Style" w:hAnsi="Bookman Old Style"/>
          <w:sz w:val="24"/>
          <w:szCs w:val="24"/>
        </w:rPr>
      </w:pPr>
      <w:r w:rsidRPr="00BD1A8E">
        <w:rPr>
          <w:rFonts w:ascii="Bookman Old Style" w:hAnsi="Bookman Old Style"/>
          <w:sz w:val="24"/>
          <w:szCs w:val="24"/>
        </w:rPr>
        <w:t xml:space="preserve">The lessons that can be learnt from different countries experience in implementing TFA shows that trade facilitation reform addresses the operational interface between government and private sector that brings together legal, economic, political, technological and management aspects. Many countries have trade facilitation reforms as part of multilateral, </w:t>
      </w:r>
      <w:r w:rsidRPr="00BD1A8E">
        <w:rPr>
          <w:rFonts w:ascii="Bookman Old Style" w:hAnsi="Bookman Old Style"/>
          <w:sz w:val="24"/>
          <w:szCs w:val="24"/>
        </w:rPr>
        <w:lastRenderedPageBreak/>
        <w:t xml:space="preserve">regional or unilateral initiatives. These experiences provide valuable information on lessons learned, successes and challenges that these countries have encountered. It is difficult to draw universal lessons from trade facilitation reforms. An approach that has proved to be successful in a given country might fail in another due to factors such as the country’s geography, level of development, legal framework, infrastructure, human resources and type and volume of trade (De Wulf and Sokol, 2005). </w:t>
      </w:r>
    </w:p>
    <w:p w14:paraId="2AE83328" w14:textId="77777777" w:rsidR="00FB5722" w:rsidRPr="00BD1A8E" w:rsidRDefault="00FB5722" w:rsidP="00FB5722">
      <w:pPr>
        <w:jc w:val="both"/>
        <w:rPr>
          <w:rFonts w:ascii="Bookman Old Style" w:hAnsi="Bookman Old Style"/>
          <w:sz w:val="24"/>
          <w:szCs w:val="24"/>
        </w:rPr>
      </w:pPr>
      <w:r w:rsidRPr="00BD1A8E">
        <w:rPr>
          <w:rFonts w:ascii="Bookman Old Style" w:hAnsi="Bookman Old Style"/>
          <w:sz w:val="24"/>
          <w:szCs w:val="24"/>
        </w:rPr>
        <w:t xml:space="preserve">Different trade facilitation measures involve different types of success factors which are grouped into six categories: National ownership which involves high level political will and commitment; Stakeholder’s participation; Financial, material and human resources (adequate funding, human and organizational management); Sequencing approach (adapt a flexible implementation plan); Transparency and monitoring (adopt a communication strategy to share and disseminate relevant information to stakeholders and the general public) (UNCTAD, 2014); Adequate enabling and clear legal framework (may entail a change in laws, regulation etc.); and, Monitoring the implementation of the TFA. </w:t>
      </w:r>
    </w:p>
    <w:p w14:paraId="28FF516F" w14:textId="77777777" w:rsidR="00FB5722" w:rsidRPr="00BD1A8E" w:rsidRDefault="00FB5722" w:rsidP="00FB5722">
      <w:pPr>
        <w:jc w:val="both"/>
        <w:rPr>
          <w:rFonts w:ascii="Bookman Old Style" w:hAnsi="Bookman Old Style"/>
          <w:b/>
          <w:sz w:val="24"/>
          <w:szCs w:val="24"/>
        </w:rPr>
      </w:pPr>
    </w:p>
    <w:p w14:paraId="65E3E93C" w14:textId="68EBEE72" w:rsidR="00FB5722" w:rsidRPr="00BD1A8E" w:rsidRDefault="00D33433" w:rsidP="00FB5722">
      <w:pPr>
        <w:jc w:val="both"/>
        <w:rPr>
          <w:rFonts w:ascii="Bookman Old Style" w:hAnsi="Bookman Old Style"/>
          <w:b/>
          <w:sz w:val="24"/>
          <w:szCs w:val="24"/>
        </w:rPr>
      </w:pPr>
      <w:r>
        <w:rPr>
          <w:rFonts w:ascii="Bookman Old Style" w:hAnsi="Bookman Old Style"/>
          <w:b/>
          <w:sz w:val="24"/>
          <w:szCs w:val="24"/>
        </w:rPr>
        <w:t>5.5:</w:t>
      </w:r>
      <w:r>
        <w:rPr>
          <w:rFonts w:ascii="Bookman Old Style" w:hAnsi="Bookman Old Style"/>
          <w:b/>
          <w:sz w:val="24"/>
          <w:szCs w:val="24"/>
        </w:rPr>
        <w:tab/>
      </w:r>
      <w:r w:rsidR="00FB5722" w:rsidRPr="00BD1A8E">
        <w:rPr>
          <w:rFonts w:ascii="Bookman Old Style" w:hAnsi="Bookman Old Style"/>
          <w:b/>
          <w:sz w:val="24"/>
          <w:szCs w:val="24"/>
        </w:rPr>
        <w:t>Factor</w:t>
      </w:r>
      <w:r w:rsidR="008C2E72">
        <w:rPr>
          <w:rFonts w:ascii="Bookman Old Style" w:hAnsi="Bookman Old Style"/>
          <w:b/>
          <w:sz w:val="24"/>
          <w:szCs w:val="24"/>
        </w:rPr>
        <w:t>s for the Implementation of TFA</w:t>
      </w:r>
    </w:p>
    <w:p w14:paraId="7377A1CC" w14:textId="77777777" w:rsidR="00FB5722" w:rsidRPr="00BD1A8E" w:rsidRDefault="00FB5722" w:rsidP="00FB5722">
      <w:pPr>
        <w:pStyle w:val="Pa11"/>
        <w:numPr>
          <w:ilvl w:val="0"/>
          <w:numId w:val="74"/>
        </w:numPr>
        <w:jc w:val="both"/>
        <w:rPr>
          <w:rFonts w:ascii="Bookman Old Style" w:hAnsi="Bookman Old Style"/>
          <w:color w:val="221E1F"/>
        </w:rPr>
      </w:pP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most</w:t>
      </w:r>
      <w:r w:rsidRPr="00BD1A8E">
        <w:rPr>
          <w:rFonts w:ascii="Bookman Old Style" w:hAnsi="Bookman Old Style"/>
          <w:color w:val="000000"/>
        </w:rPr>
        <w:t xml:space="preserve"> </w:t>
      </w:r>
      <w:r w:rsidRPr="00BD1A8E">
        <w:rPr>
          <w:rFonts w:ascii="Bookman Old Style" w:hAnsi="Bookman Old Style"/>
          <w:color w:val="221E1F"/>
        </w:rPr>
        <w:t>frequently</w:t>
      </w:r>
      <w:r w:rsidRPr="00BD1A8E">
        <w:rPr>
          <w:rFonts w:ascii="Bookman Old Style" w:hAnsi="Bookman Old Style"/>
          <w:color w:val="000000"/>
        </w:rPr>
        <w:t xml:space="preserve"> </w:t>
      </w:r>
      <w:r w:rsidRPr="00BD1A8E">
        <w:rPr>
          <w:rFonts w:ascii="Bookman Old Style" w:hAnsi="Bookman Old Style"/>
          <w:color w:val="221E1F"/>
        </w:rPr>
        <w:t>reported</w:t>
      </w:r>
      <w:r w:rsidRPr="00BD1A8E">
        <w:rPr>
          <w:rFonts w:ascii="Bookman Old Style" w:hAnsi="Bookman Old Style"/>
          <w:color w:val="000000"/>
        </w:rPr>
        <w:t xml:space="preserve"> </w:t>
      </w:r>
      <w:r w:rsidRPr="00BD1A8E">
        <w:rPr>
          <w:rFonts w:ascii="Bookman Old Style" w:hAnsi="Bookman Old Style"/>
          <w:color w:val="221E1F"/>
        </w:rPr>
        <w:t>success</w:t>
      </w:r>
      <w:r w:rsidRPr="00BD1A8E">
        <w:rPr>
          <w:rFonts w:ascii="Bookman Old Style" w:hAnsi="Bookman Old Style"/>
          <w:color w:val="000000"/>
        </w:rPr>
        <w:t xml:space="preserve"> </w:t>
      </w:r>
      <w:r w:rsidRPr="00BD1A8E">
        <w:rPr>
          <w:rFonts w:ascii="Bookman Old Style" w:hAnsi="Bookman Old Style"/>
          <w:color w:val="221E1F"/>
        </w:rPr>
        <w:t>factor</w:t>
      </w:r>
      <w:r w:rsidRPr="00BD1A8E">
        <w:rPr>
          <w:rFonts w:ascii="Bookman Old Style" w:hAnsi="Bookman Old Style"/>
          <w:color w:val="000000"/>
        </w:rPr>
        <w:t xml:space="preserve"> </w:t>
      </w:r>
      <w:r w:rsidRPr="00BD1A8E">
        <w:rPr>
          <w:rFonts w:ascii="Bookman Old Style" w:hAnsi="Bookman Old Style"/>
          <w:color w:val="221E1F"/>
        </w:rPr>
        <w:t>is</w:t>
      </w:r>
      <w:r w:rsidRPr="00BD1A8E">
        <w:rPr>
          <w:rFonts w:ascii="Bookman Old Style" w:hAnsi="Bookman Old Style"/>
          <w:color w:val="000000"/>
        </w:rPr>
        <w:t xml:space="preserve"> </w:t>
      </w:r>
      <w:r w:rsidRPr="00BD1A8E">
        <w:rPr>
          <w:rFonts w:ascii="Bookman Old Style" w:hAnsi="Bookman Old Style"/>
          <w:color w:val="221E1F"/>
        </w:rPr>
        <w:t>strong</w:t>
      </w:r>
      <w:r w:rsidRPr="00BD1A8E">
        <w:rPr>
          <w:rFonts w:ascii="Bookman Old Style" w:hAnsi="Bookman Old Style"/>
          <w:color w:val="000000"/>
        </w:rPr>
        <w:t xml:space="preserve"> </w:t>
      </w:r>
      <w:r w:rsidRPr="00BD1A8E">
        <w:rPr>
          <w:rFonts w:ascii="Bookman Old Style" w:hAnsi="Bookman Old Style"/>
          <w:color w:val="221E1F"/>
        </w:rPr>
        <w:t>high-level</w:t>
      </w:r>
      <w:r w:rsidRPr="00BD1A8E">
        <w:rPr>
          <w:rFonts w:ascii="Bookman Old Style" w:hAnsi="Bookman Old Style"/>
          <w:color w:val="000000"/>
        </w:rPr>
        <w:t xml:space="preserve"> </w:t>
      </w:r>
      <w:r w:rsidRPr="00BD1A8E">
        <w:rPr>
          <w:rFonts w:ascii="Bookman Old Style" w:hAnsi="Bookman Old Style"/>
          <w:color w:val="221E1F"/>
        </w:rPr>
        <w:t>political</w:t>
      </w:r>
      <w:r w:rsidRPr="00BD1A8E">
        <w:rPr>
          <w:rFonts w:ascii="Bookman Old Style" w:hAnsi="Bookman Old Style"/>
          <w:color w:val="000000"/>
        </w:rPr>
        <w:t xml:space="preserve"> </w:t>
      </w:r>
      <w:r w:rsidRPr="00BD1A8E">
        <w:rPr>
          <w:rFonts w:ascii="Bookman Old Style" w:hAnsi="Bookman Old Style"/>
          <w:color w:val="221E1F"/>
        </w:rPr>
        <w:t>will</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commitment</w:t>
      </w:r>
      <w:r w:rsidRPr="00BD1A8E">
        <w:rPr>
          <w:rFonts w:ascii="Bookman Old Style" w:hAnsi="Bookman Old Style"/>
          <w:color w:val="000000"/>
        </w:rPr>
        <w:t xml:space="preserve"> </w:t>
      </w:r>
      <w:r w:rsidRPr="00BD1A8E">
        <w:rPr>
          <w:rFonts w:ascii="Bookman Old Style" w:hAnsi="Bookman Old Style"/>
          <w:color w:val="221E1F"/>
        </w:rPr>
        <w:t>regarding</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trade</w:t>
      </w:r>
      <w:r w:rsidRPr="00BD1A8E">
        <w:rPr>
          <w:rFonts w:ascii="Bookman Old Style" w:hAnsi="Bookman Old Style"/>
          <w:color w:val="000000"/>
        </w:rPr>
        <w:t xml:space="preserve"> </w:t>
      </w:r>
      <w:r w:rsidRPr="00BD1A8E">
        <w:rPr>
          <w:rFonts w:ascii="Bookman Old Style" w:hAnsi="Bookman Old Style"/>
          <w:color w:val="221E1F"/>
        </w:rPr>
        <w:t>facilitation</w:t>
      </w:r>
      <w:r w:rsidRPr="00BD1A8E">
        <w:rPr>
          <w:rFonts w:ascii="Bookman Old Style" w:hAnsi="Bookman Old Style"/>
          <w:color w:val="000000"/>
        </w:rPr>
        <w:t xml:space="preserve"> </w:t>
      </w:r>
      <w:r w:rsidRPr="00BD1A8E">
        <w:rPr>
          <w:rFonts w:ascii="Bookman Old Style" w:hAnsi="Bookman Old Style"/>
          <w:color w:val="221E1F"/>
        </w:rPr>
        <w:t>process</w:t>
      </w:r>
      <w:r w:rsidRPr="00BD1A8E">
        <w:rPr>
          <w:rFonts w:ascii="Bookman Old Style" w:hAnsi="Bookman Old Style"/>
          <w:color w:val="000000"/>
        </w:rPr>
        <w:t xml:space="preserve"> </w:t>
      </w:r>
      <w:r w:rsidRPr="00BD1A8E">
        <w:rPr>
          <w:rFonts w:ascii="Bookman Old Style" w:hAnsi="Bookman Old Style"/>
          <w:color w:val="221E1F"/>
        </w:rPr>
        <w:t>reform,</w:t>
      </w:r>
      <w:r w:rsidRPr="00BD1A8E">
        <w:rPr>
          <w:rFonts w:ascii="Bookman Old Style" w:hAnsi="Bookman Old Style"/>
          <w:color w:val="000000"/>
        </w:rPr>
        <w:t xml:space="preserve"> </w:t>
      </w:r>
      <w:r w:rsidRPr="00BD1A8E">
        <w:rPr>
          <w:rFonts w:ascii="Bookman Old Style" w:hAnsi="Bookman Old Style"/>
          <w:color w:val="221E1F"/>
        </w:rPr>
        <w:t>mentioned</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102</w:t>
      </w:r>
      <w:r w:rsidRPr="00BD1A8E">
        <w:rPr>
          <w:rFonts w:ascii="Bookman Old Style" w:hAnsi="Bookman Old Style"/>
          <w:color w:val="000000"/>
        </w:rPr>
        <w:t> </w:t>
      </w:r>
      <w:r w:rsidRPr="00BD1A8E">
        <w:rPr>
          <w:rFonts w:ascii="Bookman Old Style" w:hAnsi="Bookman Old Style"/>
          <w:color w:val="221E1F"/>
        </w:rPr>
        <w:t>out</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155</w:t>
      </w:r>
      <w:r w:rsidRPr="00BD1A8E">
        <w:rPr>
          <w:rFonts w:ascii="Bookman Old Style" w:hAnsi="Bookman Old Style"/>
          <w:color w:val="000000"/>
        </w:rPr>
        <w:t xml:space="preserve"> </w:t>
      </w:r>
      <w:r w:rsidRPr="00BD1A8E">
        <w:rPr>
          <w:rFonts w:ascii="Bookman Old Style" w:hAnsi="Bookman Old Style"/>
          <w:color w:val="221E1F"/>
        </w:rPr>
        <w:t>case</w:t>
      </w:r>
      <w:r w:rsidRPr="00BD1A8E">
        <w:rPr>
          <w:rFonts w:ascii="Bookman Old Style" w:hAnsi="Bookman Old Style"/>
          <w:color w:val="000000"/>
        </w:rPr>
        <w:t xml:space="preserve"> </w:t>
      </w:r>
      <w:r w:rsidRPr="00BD1A8E">
        <w:rPr>
          <w:rFonts w:ascii="Bookman Old Style" w:hAnsi="Bookman Old Style"/>
          <w:color w:val="221E1F"/>
        </w:rPr>
        <w:t>stories.</w:t>
      </w:r>
      <w:r w:rsidRPr="00BD1A8E">
        <w:rPr>
          <w:rFonts w:ascii="Bookman Old Style" w:hAnsi="Bookman Old Style"/>
          <w:color w:val="000000"/>
        </w:rPr>
        <w:t xml:space="preserve"> </w:t>
      </w:r>
      <w:r w:rsidRPr="00BD1A8E">
        <w:rPr>
          <w:rFonts w:ascii="Bookman Old Style" w:hAnsi="Bookman Old Style"/>
          <w:color w:val="221E1F"/>
        </w:rPr>
        <w:t>As</w:t>
      </w:r>
      <w:r w:rsidRPr="00BD1A8E">
        <w:rPr>
          <w:rFonts w:ascii="Bookman Old Style" w:hAnsi="Bookman Old Style"/>
          <w:color w:val="000000"/>
        </w:rPr>
        <w:t xml:space="preserve"> </w:t>
      </w:r>
      <w:r w:rsidRPr="00BD1A8E">
        <w:rPr>
          <w:rFonts w:ascii="Bookman Old Style" w:hAnsi="Bookman Old Style"/>
          <w:color w:val="221E1F"/>
        </w:rPr>
        <w:t>highlighted</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Figure 3.1, the</w:t>
      </w:r>
      <w:r w:rsidRPr="00BD1A8E">
        <w:rPr>
          <w:rFonts w:ascii="Bookman Old Style" w:hAnsi="Bookman Old Style"/>
          <w:color w:val="000000"/>
        </w:rPr>
        <w:t xml:space="preserve"> </w:t>
      </w:r>
      <w:r w:rsidRPr="00BD1A8E">
        <w:rPr>
          <w:rFonts w:ascii="Bookman Old Style" w:hAnsi="Bookman Old Style"/>
          <w:color w:val="221E1F"/>
        </w:rPr>
        <w:t>relatively</w:t>
      </w:r>
      <w:r w:rsidRPr="00BD1A8E">
        <w:rPr>
          <w:rFonts w:ascii="Bookman Old Style" w:hAnsi="Bookman Old Style"/>
          <w:color w:val="000000"/>
        </w:rPr>
        <w:t xml:space="preserve"> </w:t>
      </w:r>
      <w:r w:rsidRPr="00BD1A8E">
        <w:rPr>
          <w:rFonts w:ascii="Bookman Old Style" w:hAnsi="Bookman Old Style"/>
          <w:color w:val="221E1F"/>
        </w:rPr>
        <w:t>high</w:t>
      </w:r>
      <w:r w:rsidRPr="00BD1A8E">
        <w:rPr>
          <w:rFonts w:ascii="Bookman Old Style" w:hAnsi="Bookman Old Style"/>
          <w:color w:val="000000"/>
        </w:rPr>
        <w:t xml:space="preserve"> </w:t>
      </w:r>
      <w:r w:rsidRPr="00BD1A8E">
        <w:rPr>
          <w:rFonts w:ascii="Bookman Old Style" w:hAnsi="Bookman Old Style"/>
          <w:color w:val="221E1F"/>
        </w:rPr>
        <w:t>number</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donor</w:t>
      </w:r>
      <w:r w:rsidRPr="00BD1A8E">
        <w:rPr>
          <w:rFonts w:ascii="Bookman Old Style" w:hAnsi="Bookman Old Style"/>
          <w:color w:val="000000"/>
        </w:rPr>
        <w:t xml:space="preserve"> </w:t>
      </w:r>
      <w:r w:rsidRPr="00BD1A8E">
        <w:rPr>
          <w:rFonts w:ascii="Bookman Old Style" w:hAnsi="Bookman Old Style"/>
          <w:color w:val="221E1F"/>
        </w:rPr>
        <w:t>countries</w:t>
      </w:r>
      <w:r w:rsidRPr="00BD1A8E">
        <w:rPr>
          <w:rFonts w:ascii="Bookman Old Style" w:hAnsi="Bookman Old Style"/>
          <w:color w:val="000000"/>
        </w:rPr>
        <w:t xml:space="preserve"> </w:t>
      </w:r>
      <w:r w:rsidRPr="00BD1A8E">
        <w:rPr>
          <w:rFonts w:ascii="Bookman Old Style" w:hAnsi="Bookman Old Style"/>
          <w:color w:val="221E1F"/>
        </w:rPr>
        <w:t>that</w:t>
      </w:r>
      <w:r w:rsidRPr="00BD1A8E">
        <w:rPr>
          <w:rFonts w:ascii="Bookman Old Style" w:hAnsi="Bookman Old Style"/>
          <w:color w:val="000000"/>
        </w:rPr>
        <w:t xml:space="preserve"> </w:t>
      </w:r>
      <w:r w:rsidRPr="00BD1A8E">
        <w:rPr>
          <w:rFonts w:ascii="Bookman Old Style" w:hAnsi="Bookman Old Style"/>
          <w:color w:val="221E1F"/>
        </w:rPr>
        <w:t>participated</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monitoring</w:t>
      </w:r>
      <w:r w:rsidRPr="00BD1A8E">
        <w:rPr>
          <w:rFonts w:ascii="Bookman Old Style" w:hAnsi="Bookman Old Style"/>
          <w:color w:val="000000"/>
        </w:rPr>
        <w:t xml:space="preserve"> </w:t>
      </w:r>
      <w:r w:rsidRPr="00BD1A8E">
        <w:rPr>
          <w:rFonts w:ascii="Bookman Old Style" w:hAnsi="Bookman Old Style"/>
          <w:color w:val="221E1F"/>
        </w:rPr>
        <w:t>exercise</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Fifth</w:t>
      </w:r>
      <w:r w:rsidRPr="00BD1A8E">
        <w:rPr>
          <w:rFonts w:ascii="Bookman Old Style" w:hAnsi="Bookman Old Style"/>
          <w:color w:val="000000"/>
        </w:rPr>
        <w:t xml:space="preserve"> </w:t>
      </w:r>
      <w:r w:rsidRPr="00BD1A8E">
        <w:rPr>
          <w:rFonts w:ascii="Bookman Old Style" w:hAnsi="Bookman Old Style"/>
          <w:color w:val="221E1F"/>
        </w:rPr>
        <w:t>Global</w:t>
      </w:r>
      <w:r w:rsidRPr="00BD1A8E">
        <w:rPr>
          <w:rFonts w:ascii="Bookman Old Style" w:hAnsi="Bookman Old Style"/>
          <w:color w:val="000000"/>
        </w:rPr>
        <w:t xml:space="preserve"> </w:t>
      </w:r>
      <w:r w:rsidRPr="00BD1A8E">
        <w:rPr>
          <w:rFonts w:ascii="Bookman Old Style" w:hAnsi="Bookman Old Style"/>
          <w:color w:val="221E1F"/>
        </w:rPr>
        <w:t>Review</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Aid</w:t>
      </w:r>
      <w:r w:rsidRPr="00BD1A8E">
        <w:rPr>
          <w:rFonts w:ascii="Bookman Old Style" w:hAnsi="Bookman Old Style"/>
          <w:color w:val="000000"/>
        </w:rPr>
        <w:t xml:space="preserve"> </w:t>
      </w:r>
      <w:r w:rsidRPr="00BD1A8E">
        <w:rPr>
          <w:rFonts w:ascii="Bookman Old Style" w:hAnsi="Bookman Old Style"/>
          <w:color w:val="221E1F"/>
        </w:rPr>
        <w:t>for</w:t>
      </w:r>
      <w:r w:rsidRPr="00BD1A8E">
        <w:rPr>
          <w:rFonts w:ascii="Bookman Old Style" w:hAnsi="Bookman Old Style"/>
          <w:color w:val="000000"/>
        </w:rPr>
        <w:t xml:space="preserve"> </w:t>
      </w:r>
      <w:r w:rsidRPr="00BD1A8E">
        <w:rPr>
          <w:rFonts w:ascii="Bookman Old Style" w:hAnsi="Bookman Old Style"/>
          <w:color w:val="221E1F"/>
        </w:rPr>
        <w:t>Trade</w:t>
      </w:r>
      <w:r w:rsidRPr="00BD1A8E">
        <w:rPr>
          <w:rFonts w:ascii="Bookman Old Style" w:hAnsi="Bookman Old Style"/>
          <w:color w:val="000000"/>
        </w:rPr>
        <w:t xml:space="preserve"> </w:t>
      </w:r>
      <w:r w:rsidRPr="00BD1A8E">
        <w:rPr>
          <w:rFonts w:ascii="Bookman Old Style" w:hAnsi="Bookman Old Style"/>
          <w:color w:val="221E1F"/>
        </w:rPr>
        <w:t>identified</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lack</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“national</w:t>
      </w:r>
      <w:r w:rsidRPr="00BD1A8E">
        <w:rPr>
          <w:rFonts w:ascii="Bookman Old Style" w:hAnsi="Bookman Old Style"/>
          <w:color w:val="000000"/>
        </w:rPr>
        <w:t xml:space="preserve"> </w:t>
      </w:r>
      <w:r w:rsidRPr="00BD1A8E">
        <w:rPr>
          <w:rFonts w:ascii="Bookman Old Style" w:hAnsi="Bookman Old Style"/>
          <w:color w:val="221E1F"/>
        </w:rPr>
        <w:t>coordination</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political</w:t>
      </w:r>
      <w:r w:rsidRPr="00BD1A8E">
        <w:rPr>
          <w:rFonts w:ascii="Bookman Old Style" w:hAnsi="Bookman Old Style"/>
          <w:color w:val="000000"/>
        </w:rPr>
        <w:t xml:space="preserve"> </w:t>
      </w:r>
      <w:r w:rsidRPr="00BD1A8E">
        <w:rPr>
          <w:rFonts w:ascii="Bookman Old Style" w:hAnsi="Bookman Old Style"/>
          <w:color w:val="221E1F"/>
        </w:rPr>
        <w:t>will</w:t>
      </w:r>
      <w:r w:rsidRPr="00BD1A8E">
        <w:rPr>
          <w:rFonts w:ascii="Bookman Old Style" w:hAnsi="Bookman Old Style"/>
          <w:color w:val="000000"/>
        </w:rPr>
        <w:t xml:space="preserve"> </w:t>
      </w:r>
      <w:r w:rsidRPr="00BD1A8E">
        <w:rPr>
          <w:rFonts w:ascii="Bookman Old Style" w:hAnsi="Bookman Old Style"/>
          <w:color w:val="221E1F"/>
        </w:rPr>
        <w:t>demonstration”</w:t>
      </w:r>
      <w:r w:rsidRPr="00BD1A8E">
        <w:rPr>
          <w:rFonts w:ascii="Bookman Old Style" w:hAnsi="Bookman Old Style"/>
          <w:color w:val="000000"/>
        </w:rPr>
        <w:t xml:space="preserve"> </w:t>
      </w:r>
      <w:r w:rsidRPr="00BD1A8E">
        <w:rPr>
          <w:rFonts w:ascii="Bookman Old Style" w:hAnsi="Bookman Old Style"/>
          <w:color w:val="221E1F"/>
        </w:rPr>
        <w:t>as</w:t>
      </w:r>
      <w:r w:rsidRPr="00BD1A8E">
        <w:rPr>
          <w:rFonts w:ascii="Bookman Old Style" w:hAnsi="Bookman Old Style"/>
          <w:color w:val="000000"/>
        </w:rPr>
        <w:t xml:space="preserve"> </w:t>
      </w:r>
      <w:r w:rsidRPr="00BD1A8E">
        <w:rPr>
          <w:rFonts w:ascii="Bookman Old Style" w:hAnsi="Bookman Old Style"/>
          <w:color w:val="221E1F"/>
        </w:rPr>
        <w:t>one of</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most</w:t>
      </w:r>
      <w:r w:rsidRPr="00BD1A8E">
        <w:rPr>
          <w:rFonts w:ascii="Bookman Old Style" w:hAnsi="Bookman Old Style"/>
          <w:color w:val="000000"/>
        </w:rPr>
        <w:t xml:space="preserve"> </w:t>
      </w:r>
      <w:r w:rsidRPr="00BD1A8E">
        <w:rPr>
          <w:rFonts w:ascii="Bookman Old Style" w:hAnsi="Bookman Old Style"/>
          <w:color w:val="221E1F"/>
        </w:rPr>
        <w:t>important</w:t>
      </w:r>
      <w:r w:rsidRPr="00BD1A8E">
        <w:rPr>
          <w:rFonts w:ascii="Bookman Old Style" w:hAnsi="Bookman Old Style"/>
          <w:color w:val="000000"/>
        </w:rPr>
        <w:t xml:space="preserve"> </w:t>
      </w:r>
      <w:r w:rsidRPr="00BD1A8E">
        <w:rPr>
          <w:rFonts w:ascii="Bookman Old Style" w:hAnsi="Bookman Old Style"/>
          <w:color w:val="221E1F"/>
        </w:rPr>
        <w:t>difficulties</w:t>
      </w:r>
      <w:r w:rsidRPr="00BD1A8E">
        <w:rPr>
          <w:rFonts w:ascii="Bookman Old Style" w:hAnsi="Bookman Old Style"/>
          <w:color w:val="000000"/>
        </w:rPr>
        <w:t xml:space="preserve"> </w:t>
      </w:r>
      <w:r w:rsidRPr="00BD1A8E">
        <w:rPr>
          <w:rFonts w:ascii="Bookman Old Style" w:hAnsi="Bookman Old Style"/>
          <w:color w:val="221E1F"/>
        </w:rPr>
        <w:t>that</w:t>
      </w:r>
      <w:r w:rsidRPr="00BD1A8E">
        <w:rPr>
          <w:rFonts w:ascii="Bookman Old Style" w:hAnsi="Bookman Old Style"/>
          <w:color w:val="000000"/>
        </w:rPr>
        <w:t xml:space="preserve"> </w:t>
      </w:r>
      <w:r w:rsidRPr="00BD1A8E">
        <w:rPr>
          <w:rFonts w:ascii="Bookman Old Style" w:hAnsi="Bookman Old Style"/>
          <w:color w:val="221E1F"/>
        </w:rPr>
        <w:t>might</w:t>
      </w:r>
      <w:r w:rsidRPr="00BD1A8E">
        <w:rPr>
          <w:rFonts w:ascii="Bookman Old Style" w:hAnsi="Bookman Old Style"/>
          <w:color w:val="000000"/>
        </w:rPr>
        <w:t xml:space="preserve"> </w:t>
      </w:r>
      <w:r w:rsidRPr="00BD1A8E">
        <w:rPr>
          <w:rFonts w:ascii="Bookman Old Style" w:hAnsi="Bookman Old Style"/>
          <w:color w:val="221E1F"/>
        </w:rPr>
        <w:t>be</w:t>
      </w:r>
      <w:r w:rsidRPr="00BD1A8E">
        <w:rPr>
          <w:rFonts w:ascii="Bookman Old Style" w:hAnsi="Bookman Old Style"/>
          <w:color w:val="000000"/>
        </w:rPr>
        <w:t xml:space="preserve"> </w:t>
      </w:r>
      <w:r w:rsidRPr="00BD1A8E">
        <w:rPr>
          <w:rFonts w:ascii="Bookman Old Style" w:hAnsi="Bookman Old Style"/>
          <w:color w:val="221E1F"/>
        </w:rPr>
        <w:t>encountered</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implementing</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TFA.</w:t>
      </w:r>
      <w:r w:rsidRPr="00BD1A8E">
        <w:rPr>
          <w:rFonts w:ascii="Bookman Old Style" w:hAnsi="Bookman Old Style"/>
          <w:color w:val="000000"/>
        </w:rPr>
        <w:t xml:space="preserve"> </w:t>
      </w:r>
      <w:r w:rsidRPr="00BD1A8E">
        <w:rPr>
          <w:rFonts w:ascii="Bookman Old Style" w:hAnsi="Bookman Old Style"/>
          <w:color w:val="221E1F"/>
        </w:rPr>
        <w:t>Political</w:t>
      </w:r>
      <w:r w:rsidRPr="00BD1A8E">
        <w:rPr>
          <w:rFonts w:ascii="Bookman Old Style" w:hAnsi="Bookman Old Style"/>
          <w:color w:val="000000"/>
        </w:rPr>
        <w:t xml:space="preserve"> </w:t>
      </w:r>
      <w:r w:rsidRPr="00BD1A8E">
        <w:rPr>
          <w:rFonts w:ascii="Bookman Old Style" w:hAnsi="Bookman Old Style"/>
          <w:color w:val="221E1F"/>
        </w:rPr>
        <w:t>involvement,</w:t>
      </w:r>
      <w:r w:rsidRPr="00BD1A8E">
        <w:rPr>
          <w:rFonts w:ascii="Bookman Old Style" w:hAnsi="Bookman Old Style"/>
          <w:color w:val="000000"/>
        </w:rPr>
        <w:t xml:space="preserve"> </w:t>
      </w:r>
      <w:r w:rsidRPr="00BD1A8E">
        <w:rPr>
          <w:rFonts w:ascii="Bookman Old Style" w:hAnsi="Bookman Old Style"/>
          <w:color w:val="221E1F"/>
        </w:rPr>
        <w:t>at</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ministerial,</w:t>
      </w:r>
      <w:r w:rsidRPr="00BD1A8E">
        <w:rPr>
          <w:rFonts w:ascii="Bookman Old Style" w:hAnsi="Bookman Old Style"/>
          <w:color w:val="000000"/>
        </w:rPr>
        <w:t xml:space="preserve"> </w:t>
      </w:r>
      <w:r w:rsidRPr="00BD1A8E">
        <w:rPr>
          <w:rFonts w:ascii="Bookman Old Style" w:hAnsi="Bookman Old Style"/>
          <w:color w:val="221E1F"/>
        </w:rPr>
        <w:t>prime</w:t>
      </w:r>
      <w:r w:rsidRPr="00BD1A8E">
        <w:rPr>
          <w:rFonts w:ascii="Bookman Old Style" w:hAnsi="Bookman Old Style"/>
          <w:color w:val="000000"/>
        </w:rPr>
        <w:t xml:space="preserve"> </w:t>
      </w:r>
      <w:r w:rsidRPr="00BD1A8E">
        <w:rPr>
          <w:rFonts w:ascii="Bookman Old Style" w:hAnsi="Bookman Old Style"/>
          <w:color w:val="221E1F"/>
        </w:rPr>
        <w:t>ministerial</w:t>
      </w:r>
      <w:r w:rsidRPr="00BD1A8E">
        <w:rPr>
          <w:rFonts w:ascii="Bookman Old Style" w:hAnsi="Bookman Old Style"/>
          <w:color w:val="000000"/>
        </w:rPr>
        <w:t xml:space="preserve"> </w:t>
      </w:r>
      <w:r w:rsidRPr="00BD1A8E">
        <w:rPr>
          <w:rFonts w:ascii="Bookman Old Style" w:hAnsi="Bookman Old Style"/>
          <w:color w:val="221E1F"/>
        </w:rPr>
        <w:t>or</w:t>
      </w:r>
      <w:r w:rsidRPr="00BD1A8E">
        <w:rPr>
          <w:rFonts w:ascii="Bookman Old Style" w:hAnsi="Bookman Old Style"/>
          <w:color w:val="000000"/>
        </w:rPr>
        <w:t xml:space="preserve"> </w:t>
      </w:r>
      <w:r w:rsidRPr="00BD1A8E">
        <w:rPr>
          <w:rFonts w:ascii="Bookman Old Style" w:hAnsi="Bookman Old Style"/>
          <w:color w:val="221E1F"/>
        </w:rPr>
        <w:t>presidential</w:t>
      </w:r>
      <w:r w:rsidRPr="00BD1A8E">
        <w:rPr>
          <w:rFonts w:ascii="Bookman Old Style" w:hAnsi="Bookman Old Style"/>
          <w:color w:val="000000"/>
        </w:rPr>
        <w:t xml:space="preserve"> </w:t>
      </w:r>
      <w:r w:rsidRPr="00BD1A8E">
        <w:rPr>
          <w:rFonts w:ascii="Bookman Old Style" w:hAnsi="Bookman Old Style"/>
          <w:color w:val="221E1F"/>
        </w:rPr>
        <w:t>level,</w:t>
      </w:r>
      <w:r w:rsidRPr="00BD1A8E">
        <w:rPr>
          <w:rFonts w:ascii="Bookman Old Style" w:hAnsi="Bookman Old Style"/>
          <w:color w:val="000000"/>
        </w:rPr>
        <w:t xml:space="preserve"> </w:t>
      </w:r>
      <w:r w:rsidRPr="00BD1A8E">
        <w:rPr>
          <w:rFonts w:ascii="Bookman Old Style" w:hAnsi="Bookman Old Style"/>
          <w:color w:val="221E1F"/>
        </w:rPr>
        <w:t>is</w:t>
      </w:r>
      <w:r w:rsidRPr="00BD1A8E">
        <w:rPr>
          <w:rFonts w:ascii="Bookman Old Style" w:hAnsi="Bookman Old Style"/>
          <w:color w:val="000000"/>
        </w:rPr>
        <w:t xml:space="preserve"> </w:t>
      </w:r>
      <w:r w:rsidRPr="00BD1A8E">
        <w:rPr>
          <w:rFonts w:ascii="Bookman Old Style" w:hAnsi="Bookman Old Style"/>
          <w:color w:val="221E1F"/>
        </w:rPr>
        <w:t>often</w:t>
      </w:r>
      <w:r w:rsidRPr="00BD1A8E">
        <w:rPr>
          <w:rFonts w:ascii="Bookman Old Style" w:hAnsi="Bookman Old Style"/>
          <w:color w:val="000000"/>
        </w:rPr>
        <w:t xml:space="preserve"> </w:t>
      </w:r>
      <w:r w:rsidRPr="00BD1A8E">
        <w:rPr>
          <w:rFonts w:ascii="Bookman Old Style" w:hAnsi="Bookman Old Style"/>
          <w:color w:val="221E1F"/>
        </w:rPr>
        <w:t>viewed</w:t>
      </w:r>
      <w:r w:rsidRPr="00BD1A8E">
        <w:rPr>
          <w:rFonts w:ascii="Bookman Old Style" w:hAnsi="Bookman Old Style"/>
          <w:color w:val="000000"/>
        </w:rPr>
        <w:t xml:space="preserve"> </w:t>
      </w:r>
      <w:r w:rsidRPr="00BD1A8E">
        <w:rPr>
          <w:rFonts w:ascii="Bookman Old Style" w:hAnsi="Bookman Old Style"/>
          <w:color w:val="221E1F"/>
        </w:rPr>
        <w:t>as</w:t>
      </w:r>
      <w:r w:rsidRPr="00BD1A8E">
        <w:rPr>
          <w:rFonts w:ascii="Bookman Old Style" w:hAnsi="Bookman Old Style"/>
          <w:color w:val="000000"/>
        </w:rPr>
        <w:t xml:space="preserve"> </w:t>
      </w:r>
      <w:r w:rsidRPr="00BD1A8E">
        <w:rPr>
          <w:rFonts w:ascii="Bookman Old Style" w:hAnsi="Bookman Old Style"/>
          <w:color w:val="221E1F"/>
        </w:rPr>
        <w:t>a</w:t>
      </w:r>
      <w:r w:rsidRPr="00BD1A8E">
        <w:rPr>
          <w:rFonts w:ascii="Bookman Old Style" w:hAnsi="Bookman Old Style"/>
          <w:color w:val="000000"/>
        </w:rPr>
        <w:t xml:space="preserve"> </w:t>
      </w:r>
      <w:r w:rsidRPr="00BD1A8E">
        <w:rPr>
          <w:rFonts w:ascii="Bookman Old Style" w:hAnsi="Bookman Old Style"/>
          <w:color w:val="221E1F"/>
        </w:rPr>
        <w:t>manifestation</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appropriation</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ownership</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trade</w:t>
      </w:r>
      <w:r w:rsidRPr="00BD1A8E">
        <w:rPr>
          <w:rFonts w:ascii="Bookman Old Style" w:hAnsi="Bookman Old Style"/>
          <w:color w:val="000000"/>
        </w:rPr>
        <w:t xml:space="preserve"> </w:t>
      </w:r>
      <w:r w:rsidRPr="00BD1A8E">
        <w:rPr>
          <w:rFonts w:ascii="Bookman Old Style" w:hAnsi="Bookman Old Style"/>
          <w:color w:val="221E1F"/>
        </w:rPr>
        <w:t>facilitation</w:t>
      </w:r>
      <w:r w:rsidRPr="00BD1A8E">
        <w:rPr>
          <w:rFonts w:ascii="Bookman Old Style" w:hAnsi="Bookman Old Style"/>
          <w:color w:val="000000"/>
        </w:rPr>
        <w:t xml:space="preserve"> </w:t>
      </w:r>
      <w:r w:rsidRPr="00BD1A8E">
        <w:rPr>
          <w:rFonts w:ascii="Bookman Old Style" w:hAnsi="Bookman Old Style"/>
          <w:color w:val="221E1F"/>
        </w:rPr>
        <w:t>reform.</w:t>
      </w:r>
      <w:r w:rsidRPr="00BD1A8E">
        <w:rPr>
          <w:rFonts w:ascii="Bookman Old Style" w:hAnsi="Bookman Old Style"/>
          <w:color w:val="000000"/>
        </w:rPr>
        <w:t xml:space="preserve"> </w:t>
      </w:r>
      <w:r w:rsidRPr="00BD1A8E">
        <w:rPr>
          <w:rFonts w:ascii="Bookman Old Style" w:hAnsi="Bookman Old Style"/>
          <w:color w:val="221E1F"/>
        </w:rPr>
        <w:t>Fifty-nine</w:t>
      </w:r>
      <w:r w:rsidRPr="00BD1A8E">
        <w:rPr>
          <w:rFonts w:ascii="Bookman Old Style" w:hAnsi="Bookman Old Style"/>
          <w:color w:val="000000"/>
        </w:rPr>
        <w:t xml:space="preserve"> </w:t>
      </w:r>
      <w:r w:rsidRPr="00BD1A8E">
        <w:rPr>
          <w:rFonts w:ascii="Bookman Old Style" w:hAnsi="Bookman Old Style"/>
          <w:color w:val="221E1F"/>
        </w:rPr>
        <w:t>case</w:t>
      </w:r>
      <w:r w:rsidRPr="00BD1A8E">
        <w:rPr>
          <w:rFonts w:ascii="Bookman Old Style" w:hAnsi="Bookman Old Style"/>
          <w:color w:val="000000"/>
        </w:rPr>
        <w:t xml:space="preserve"> </w:t>
      </w:r>
      <w:r w:rsidRPr="00BD1A8E">
        <w:rPr>
          <w:rFonts w:ascii="Bookman Old Style" w:hAnsi="Bookman Old Style"/>
          <w:color w:val="221E1F"/>
        </w:rPr>
        <w:t>stories</w:t>
      </w:r>
      <w:r w:rsidRPr="00BD1A8E">
        <w:rPr>
          <w:rFonts w:ascii="Bookman Old Style" w:hAnsi="Bookman Old Style"/>
          <w:color w:val="000000"/>
        </w:rPr>
        <w:t xml:space="preserve"> </w:t>
      </w:r>
      <w:r w:rsidRPr="00BD1A8E">
        <w:rPr>
          <w:rFonts w:ascii="Bookman Old Style" w:hAnsi="Bookman Old Style"/>
          <w:color w:val="221E1F"/>
        </w:rPr>
        <w:t>specifically</w:t>
      </w:r>
      <w:r w:rsidRPr="00BD1A8E">
        <w:rPr>
          <w:rFonts w:ascii="Bookman Old Style" w:hAnsi="Bookman Old Style"/>
          <w:color w:val="000000"/>
        </w:rPr>
        <w:t xml:space="preserve"> </w:t>
      </w:r>
      <w:r w:rsidRPr="00BD1A8E">
        <w:rPr>
          <w:rFonts w:ascii="Bookman Old Style" w:hAnsi="Bookman Old Style"/>
          <w:color w:val="221E1F"/>
        </w:rPr>
        <w:t>identify</w:t>
      </w:r>
      <w:r w:rsidRPr="00BD1A8E">
        <w:rPr>
          <w:rFonts w:ascii="Bookman Old Style" w:hAnsi="Bookman Old Style"/>
          <w:color w:val="000000"/>
        </w:rPr>
        <w:t xml:space="preserve"> </w:t>
      </w:r>
      <w:r w:rsidRPr="00BD1A8E">
        <w:rPr>
          <w:rFonts w:ascii="Bookman Old Style" w:hAnsi="Bookman Old Style"/>
          <w:color w:val="221E1F"/>
        </w:rPr>
        <w:t>ownership</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accountability</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government</w:t>
      </w:r>
      <w:r w:rsidRPr="00BD1A8E">
        <w:rPr>
          <w:rFonts w:ascii="Bookman Old Style" w:hAnsi="Bookman Old Style"/>
          <w:color w:val="000000"/>
        </w:rPr>
        <w:t xml:space="preserve"> </w:t>
      </w:r>
      <w:r w:rsidRPr="00BD1A8E">
        <w:rPr>
          <w:rFonts w:ascii="Bookman Old Style" w:hAnsi="Bookman Old Style"/>
          <w:color w:val="221E1F"/>
        </w:rPr>
        <w:t>but</w:t>
      </w:r>
      <w:r w:rsidRPr="00BD1A8E">
        <w:rPr>
          <w:rFonts w:ascii="Bookman Old Style" w:hAnsi="Bookman Old Style"/>
          <w:color w:val="000000"/>
        </w:rPr>
        <w:t xml:space="preserve"> </w:t>
      </w:r>
      <w:r w:rsidRPr="00BD1A8E">
        <w:rPr>
          <w:rFonts w:ascii="Bookman Old Style" w:hAnsi="Bookman Old Style"/>
          <w:color w:val="221E1F"/>
        </w:rPr>
        <w:t>also</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staff</w:t>
      </w:r>
      <w:r w:rsidRPr="00BD1A8E">
        <w:rPr>
          <w:rFonts w:ascii="Bookman Old Style" w:hAnsi="Bookman Old Style"/>
          <w:color w:val="000000"/>
        </w:rPr>
        <w:t xml:space="preserve"> </w:t>
      </w:r>
      <w:r w:rsidRPr="00BD1A8E">
        <w:rPr>
          <w:rFonts w:ascii="Bookman Old Style" w:hAnsi="Bookman Old Style"/>
          <w:color w:val="221E1F"/>
        </w:rPr>
        <w:t>being</w:t>
      </w:r>
      <w:r w:rsidRPr="00BD1A8E">
        <w:rPr>
          <w:rFonts w:ascii="Bookman Old Style" w:hAnsi="Bookman Old Style"/>
          <w:color w:val="000000"/>
        </w:rPr>
        <w:t xml:space="preserve"> </w:t>
      </w:r>
      <w:r w:rsidRPr="00BD1A8E">
        <w:rPr>
          <w:rFonts w:ascii="Bookman Old Style" w:hAnsi="Bookman Old Style"/>
          <w:color w:val="221E1F"/>
        </w:rPr>
        <w:t>brought</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implement</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initiative</w:t>
      </w:r>
      <w:r w:rsidRPr="00BD1A8E">
        <w:rPr>
          <w:rFonts w:ascii="Bookman Old Style" w:hAnsi="Bookman Old Style"/>
          <w:color w:val="000000"/>
        </w:rPr>
        <w:t xml:space="preserve"> </w:t>
      </w:r>
      <w:r w:rsidRPr="00BD1A8E">
        <w:rPr>
          <w:rFonts w:ascii="Bookman Old Style" w:hAnsi="Bookman Old Style"/>
          <w:color w:val="221E1F"/>
        </w:rPr>
        <w:t>as</w:t>
      </w:r>
      <w:r w:rsidRPr="00BD1A8E">
        <w:rPr>
          <w:rFonts w:ascii="Bookman Old Style" w:hAnsi="Bookman Old Style"/>
          <w:color w:val="000000"/>
        </w:rPr>
        <w:t xml:space="preserve"> </w:t>
      </w:r>
      <w:r w:rsidRPr="00BD1A8E">
        <w:rPr>
          <w:rFonts w:ascii="Bookman Old Style" w:hAnsi="Bookman Old Style"/>
          <w:color w:val="221E1F"/>
        </w:rPr>
        <w:t>a</w:t>
      </w:r>
      <w:r w:rsidRPr="00BD1A8E">
        <w:rPr>
          <w:rFonts w:ascii="Bookman Old Style" w:hAnsi="Bookman Old Style"/>
          <w:color w:val="000000"/>
        </w:rPr>
        <w:t xml:space="preserve"> </w:t>
      </w:r>
      <w:r w:rsidRPr="00BD1A8E">
        <w:rPr>
          <w:rFonts w:ascii="Bookman Old Style" w:hAnsi="Bookman Old Style"/>
          <w:color w:val="221E1F"/>
        </w:rPr>
        <w:t>success</w:t>
      </w:r>
      <w:r w:rsidRPr="00BD1A8E">
        <w:rPr>
          <w:rFonts w:ascii="Bookman Old Style" w:hAnsi="Bookman Old Style"/>
          <w:color w:val="000000"/>
        </w:rPr>
        <w:t xml:space="preserve"> </w:t>
      </w:r>
      <w:r w:rsidRPr="00BD1A8E">
        <w:rPr>
          <w:rFonts w:ascii="Bookman Old Style" w:hAnsi="Bookman Old Style"/>
          <w:color w:val="221E1F"/>
        </w:rPr>
        <w:t>factor.</w:t>
      </w:r>
    </w:p>
    <w:p w14:paraId="4F870ABE" w14:textId="77777777" w:rsidR="00FB5722" w:rsidRPr="00BD1A8E" w:rsidRDefault="00FB5722" w:rsidP="00FB5722">
      <w:pPr>
        <w:rPr>
          <w:rFonts w:ascii="Bookman Old Style" w:hAnsi="Bookman Old Style"/>
        </w:rPr>
      </w:pPr>
    </w:p>
    <w:p w14:paraId="0AB3E9C7" w14:textId="77777777" w:rsidR="00FB5722" w:rsidRPr="00BD1A8E" w:rsidRDefault="00FB5722" w:rsidP="00FB5722">
      <w:pPr>
        <w:pStyle w:val="Pa11"/>
        <w:ind w:left="720"/>
        <w:jc w:val="both"/>
        <w:rPr>
          <w:rFonts w:ascii="Bookman Old Style" w:hAnsi="Bookman Old Style"/>
          <w:color w:val="221E1F"/>
        </w:rPr>
      </w:pPr>
      <w:r w:rsidRPr="00BD1A8E">
        <w:rPr>
          <w:rFonts w:ascii="Bookman Old Style" w:hAnsi="Bookman Old Style"/>
          <w:color w:val="221E1F"/>
        </w:rPr>
        <w:t>Political</w:t>
      </w:r>
      <w:r w:rsidRPr="00BD1A8E">
        <w:rPr>
          <w:rFonts w:ascii="Bookman Old Style" w:hAnsi="Bookman Old Style"/>
          <w:color w:val="000000"/>
        </w:rPr>
        <w:t xml:space="preserve"> </w:t>
      </w:r>
      <w:r w:rsidRPr="00BD1A8E">
        <w:rPr>
          <w:rFonts w:ascii="Bookman Old Style" w:hAnsi="Bookman Old Style"/>
          <w:color w:val="221E1F"/>
        </w:rPr>
        <w:t>will</w:t>
      </w:r>
      <w:r w:rsidRPr="00BD1A8E">
        <w:rPr>
          <w:rFonts w:ascii="Bookman Old Style" w:hAnsi="Bookman Old Style"/>
          <w:color w:val="000000"/>
        </w:rPr>
        <w:t xml:space="preserve"> </w:t>
      </w:r>
      <w:r w:rsidRPr="00BD1A8E">
        <w:rPr>
          <w:rFonts w:ascii="Bookman Old Style" w:hAnsi="Bookman Old Style"/>
          <w:color w:val="221E1F"/>
        </w:rPr>
        <w:t>frequently</w:t>
      </w:r>
      <w:r w:rsidRPr="00BD1A8E">
        <w:rPr>
          <w:rFonts w:ascii="Bookman Old Style" w:hAnsi="Bookman Old Style"/>
          <w:color w:val="000000"/>
        </w:rPr>
        <w:t xml:space="preserve"> </w:t>
      </w:r>
      <w:r w:rsidRPr="00BD1A8E">
        <w:rPr>
          <w:rFonts w:ascii="Bookman Old Style" w:hAnsi="Bookman Old Style"/>
          <w:color w:val="221E1F"/>
        </w:rPr>
        <w:t>represents</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overarching</w:t>
      </w:r>
      <w:r w:rsidRPr="00BD1A8E">
        <w:rPr>
          <w:rFonts w:ascii="Bookman Old Style" w:hAnsi="Bookman Old Style"/>
          <w:color w:val="000000"/>
        </w:rPr>
        <w:t xml:space="preserve"> </w:t>
      </w:r>
      <w:r w:rsidRPr="00BD1A8E">
        <w:rPr>
          <w:rFonts w:ascii="Bookman Old Style" w:hAnsi="Bookman Old Style"/>
          <w:color w:val="221E1F"/>
        </w:rPr>
        <w:t>factor</w:t>
      </w:r>
      <w:r w:rsidRPr="00BD1A8E">
        <w:rPr>
          <w:rFonts w:ascii="Bookman Old Style" w:hAnsi="Bookman Old Style"/>
          <w:color w:val="000000"/>
        </w:rPr>
        <w:t xml:space="preserve"> </w:t>
      </w:r>
      <w:r w:rsidRPr="00BD1A8E">
        <w:rPr>
          <w:rFonts w:ascii="Bookman Old Style" w:hAnsi="Bookman Old Style"/>
          <w:color w:val="221E1F"/>
        </w:rPr>
        <w:t>upon</w:t>
      </w:r>
      <w:r w:rsidRPr="00BD1A8E">
        <w:rPr>
          <w:rFonts w:ascii="Bookman Old Style" w:hAnsi="Bookman Old Style"/>
          <w:color w:val="000000"/>
        </w:rPr>
        <w:t xml:space="preserve"> </w:t>
      </w:r>
      <w:r w:rsidRPr="00BD1A8E">
        <w:rPr>
          <w:rFonts w:ascii="Bookman Old Style" w:hAnsi="Bookman Old Style"/>
          <w:color w:val="221E1F"/>
        </w:rPr>
        <w:t>which</w:t>
      </w:r>
      <w:r w:rsidRPr="00BD1A8E">
        <w:rPr>
          <w:rFonts w:ascii="Bookman Old Style" w:hAnsi="Bookman Old Style"/>
          <w:color w:val="000000"/>
        </w:rPr>
        <w:t xml:space="preserve"> </w:t>
      </w:r>
      <w:r w:rsidRPr="00BD1A8E">
        <w:rPr>
          <w:rFonts w:ascii="Bookman Old Style" w:hAnsi="Bookman Old Style"/>
          <w:color w:val="221E1F"/>
        </w:rPr>
        <w:t>most</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other</w:t>
      </w:r>
      <w:r w:rsidRPr="00BD1A8E">
        <w:rPr>
          <w:rFonts w:ascii="Bookman Old Style" w:hAnsi="Bookman Old Style"/>
          <w:color w:val="000000"/>
        </w:rPr>
        <w:t xml:space="preserve"> </w:t>
      </w:r>
      <w:r w:rsidRPr="00BD1A8E">
        <w:rPr>
          <w:rFonts w:ascii="Bookman Old Style" w:hAnsi="Bookman Old Style"/>
          <w:color w:val="221E1F"/>
        </w:rPr>
        <w:t>success</w:t>
      </w:r>
      <w:r w:rsidRPr="00BD1A8E">
        <w:rPr>
          <w:rFonts w:ascii="Bookman Old Style" w:hAnsi="Bookman Old Style"/>
          <w:color w:val="000000"/>
        </w:rPr>
        <w:t xml:space="preserve"> </w:t>
      </w:r>
      <w:r w:rsidRPr="00BD1A8E">
        <w:rPr>
          <w:rFonts w:ascii="Bookman Old Style" w:hAnsi="Bookman Old Style"/>
          <w:color w:val="221E1F"/>
        </w:rPr>
        <w:t>factors</w:t>
      </w:r>
      <w:r w:rsidRPr="00BD1A8E">
        <w:rPr>
          <w:rFonts w:ascii="Bookman Old Style" w:hAnsi="Bookman Old Style"/>
          <w:color w:val="000000"/>
        </w:rPr>
        <w:t xml:space="preserve"> </w:t>
      </w:r>
      <w:r w:rsidRPr="00BD1A8E">
        <w:rPr>
          <w:rFonts w:ascii="Bookman Old Style" w:hAnsi="Bookman Old Style"/>
          <w:color w:val="221E1F"/>
        </w:rPr>
        <w:t>rest</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depend.</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particular,</w:t>
      </w:r>
      <w:r w:rsidRPr="00BD1A8E">
        <w:rPr>
          <w:rFonts w:ascii="Bookman Old Style" w:hAnsi="Bookman Old Style"/>
          <w:color w:val="000000"/>
        </w:rPr>
        <w:t xml:space="preserve"> </w:t>
      </w:r>
      <w:r w:rsidRPr="00BD1A8E">
        <w:rPr>
          <w:rFonts w:ascii="Bookman Old Style" w:hAnsi="Bookman Old Style"/>
          <w:color w:val="221E1F"/>
        </w:rPr>
        <w:t>active</w:t>
      </w:r>
      <w:r w:rsidRPr="00BD1A8E">
        <w:rPr>
          <w:rFonts w:ascii="Bookman Old Style" w:hAnsi="Bookman Old Style"/>
          <w:color w:val="000000"/>
        </w:rPr>
        <w:t xml:space="preserve"> </w:t>
      </w:r>
      <w:r w:rsidRPr="00BD1A8E">
        <w:rPr>
          <w:rFonts w:ascii="Bookman Old Style" w:hAnsi="Bookman Old Style"/>
          <w:color w:val="221E1F"/>
        </w:rPr>
        <w:t>government</w:t>
      </w:r>
      <w:r w:rsidRPr="00BD1A8E">
        <w:rPr>
          <w:rFonts w:ascii="Bookman Old Style" w:hAnsi="Bookman Old Style"/>
          <w:color w:val="000000"/>
        </w:rPr>
        <w:t xml:space="preserve"> </w:t>
      </w:r>
      <w:r w:rsidRPr="00BD1A8E">
        <w:rPr>
          <w:rFonts w:ascii="Bookman Old Style" w:hAnsi="Bookman Old Style"/>
          <w:color w:val="221E1F"/>
        </w:rPr>
        <w:t>involvement</w:t>
      </w:r>
      <w:r w:rsidRPr="00BD1A8E">
        <w:rPr>
          <w:rFonts w:ascii="Bookman Old Style" w:hAnsi="Bookman Old Style"/>
          <w:color w:val="000000"/>
        </w:rPr>
        <w:t xml:space="preserve"> </w:t>
      </w:r>
      <w:r w:rsidRPr="00BD1A8E">
        <w:rPr>
          <w:rFonts w:ascii="Bookman Old Style" w:hAnsi="Bookman Old Style"/>
          <w:color w:val="221E1F"/>
        </w:rPr>
        <w:t>is</w:t>
      </w:r>
      <w:r w:rsidRPr="00BD1A8E">
        <w:rPr>
          <w:rFonts w:ascii="Bookman Old Style" w:hAnsi="Bookman Old Style"/>
          <w:color w:val="000000"/>
        </w:rPr>
        <w:t xml:space="preserve"> </w:t>
      </w:r>
      <w:r w:rsidRPr="00BD1A8E">
        <w:rPr>
          <w:rFonts w:ascii="Bookman Old Style" w:hAnsi="Bookman Old Style"/>
          <w:color w:val="221E1F"/>
        </w:rPr>
        <w:t>often</w:t>
      </w:r>
      <w:r w:rsidRPr="00BD1A8E">
        <w:rPr>
          <w:rFonts w:ascii="Bookman Old Style" w:hAnsi="Bookman Old Style"/>
          <w:color w:val="000000"/>
        </w:rPr>
        <w:t xml:space="preserve"> </w:t>
      </w:r>
      <w:r w:rsidRPr="00BD1A8E">
        <w:rPr>
          <w:rFonts w:ascii="Bookman Old Style" w:hAnsi="Bookman Old Style"/>
          <w:color w:val="221E1F"/>
        </w:rPr>
        <w:t>required</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resolve</w:t>
      </w:r>
      <w:r w:rsidRPr="00BD1A8E">
        <w:rPr>
          <w:rFonts w:ascii="Bookman Old Style" w:hAnsi="Bookman Old Style"/>
          <w:color w:val="000000"/>
        </w:rPr>
        <w:t xml:space="preserve"> </w:t>
      </w:r>
      <w:r w:rsidRPr="00BD1A8E">
        <w:rPr>
          <w:rFonts w:ascii="Bookman Old Style" w:hAnsi="Bookman Old Style"/>
          <w:color w:val="221E1F"/>
        </w:rPr>
        <w:t>any</w:t>
      </w:r>
      <w:r w:rsidRPr="00BD1A8E">
        <w:rPr>
          <w:rFonts w:ascii="Bookman Old Style" w:hAnsi="Bookman Old Style"/>
          <w:color w:val="000000"/>
        </w:rPr>
        <w:t xml:space="preserve"> </w:t>
      </w:r>
      <w:r w:rsidRPr="00BD1A8E">
        <w:rPr>
          <w:rFonts w:ascii="Bookman Old Style" w:hAnsi="Bookman Old Style"/>
          <w:color w:val="221E1F"/>
        </w:rPr>
        <w:t>conflicting</w:t>
      </w:r>
      <w:r w:rsidRPr="00BD1A8E">
        <w:rPr>
          <w:rFonts w:ascii="Bookman Old Style" w:hAnsi="Bookman Old Style"/>
          <w:color w:val="000000"/>
        </w:rPr>
        <w:t xml:space="preserve"> </w:t>
      </w:r>
      <w:r w:rsidRPr="00BD1A8E">
        <w:rPr>
          <w:rFonts w:ascii="Bookman Old Style" w:hAnsi="Bookman Old Style"/>
          <w:color w:val="221E1F"/>
        </w:rPr>
        <w:t>political</w:t>
      </w:r>
      <w:r w:rsidRPr="00BD1A8E">
        <w:rPr>
          <w:rFonts w:ascii="Bookman Old Style" w:hAnsi="Bookman Old Style"/>
          <w:color w:val="000000"/>
        </w:rPr>
        <w:t xml:space="preserve"> </w:t>
      </w:r>
      <w:r w:rsidRPr="00BD1A8E">
        <w:rPr>
          <w:rFonts w:ascii="Bookman Old Style" w:hAnsi="Bookman Old Style"/>
          <w:color w:val="221E1F"/>
        </w:rPr>
        <w:t>priorities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allocate</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appropriate</w:t>
      </w:r>
      <w:r w:rsidRPr="00BD1A8E">
        <w:rPr>
          <w:rFonts w:ascii="Bookman Old Style" w:hAnsi="Bookman Old Style"/>
          <w:color w:val="000000"/>
        </w:rPr>
        <w:t xml:space="preserve"> </w:t>
      </w:r>
      <w:r w:rsidRPr="00BD1A8E">
        <w:rPr>
          <w:rFonts w:ascii="Bookman Old Style" w:hAnsi="Bookman Old Style"/>
          <w:color w:val="221E1F"/>
        </w:rPr>
        <w:t>levels</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financial,</w:t>
      </w:r>
      <w:r w:rsidRPr="00BD1A8E">
        <w:rPr>
          <w:rFonts w:ascii="Bookman Old Style" w:hAnsi="Bookman Old Style"/>
          <w:color w:val="000000"/>
        </w:rPr>
        <w:t xml:space="preserve"> </w:t>
      </w:r>
      <w:r w:rsidRPr="00BD1A8E">
        <w:rPr>
          <w:rFonts w:ascii="Bookman Old Style" w:hAnsi="Bookman Old Style"/>
          <w:color w:val="221E1F"/>
        </w:rPr>
        <w:t>material</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human</w:t>
      </w:r>
      <w:r w:rsidRPr="00BD1A8E">
        <w:rPr>
          <w:rFonts w:ascii="Bookman Old Style" w:hAnsi="Bookman Old Style"/>
          <w:color w:val="000000"/>
        </w:rPr>
        <w:t xml:space="preserve"> </w:t>
      </w:r>
      <w:r w:rsidRPr="00BD1A8E">
        <w:rPr>
          <w:rFonts w:ascii="Bookman Old Style" w:hAnsi="Bookman Old Style"/>
          <w:color w:val="221E1F"/>
        </w:rPr>
        <w:t>resources</w:t>
      </w:r>
      <w:r w:rsidRPr="00BD1A8E">
        <w:rPr>
          <w:rFonts w:ascii="Bookman Old Style" w:hAnsi="Bookman Old Style"/>
          <w:color w:val="000000"/>
        </w:rPr>
        <w:t xml:space="preserve"> </w:t>
      </w:r>
      <w:r w:rsidRPr="00BD1A8E">
        <w:rPr>
          <w:rFonts w:ascii="Bookman Old Style" w:hAnsi="Bookman Old Style"/>
          <w:color w:val="221E1F"/>
        </w:rPr>
        <w:t>needed</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successfully</w:t>
      </w:r>
      <w:r w:rsidRPr="00BD1A8E">
        <w:rPr>
          <w:rFonts w:ascii="Bookman Old Style" w:hAnsi="Bookman Old Style"/>
          <w:color w:val="000000"/>
        </w:rPr>
        <w:t xml:space="preserve"> </w:t>
      </w:r>
      <w:r w:rsidRPr="00BD1A8E">
        <w:rPr>
          <w:rFonts w:ascii="Bookman Old Style" w:hAnsi="Bookman Old Style"/>
          <w:color w:val="221E1F"/>
        </w:rPr>
        <w:t>imple</w:t>
      </w:r>
      <w:bookmarkStart w:id="0" w:name="_GoBack"/>
      <w:bookmarkEnd w:id="0"/>
      <w:r w:rsidRPr="00BD1A8E">
        <w:rPr>
          <w:rFonts w:ascii="Bookman Old Style" w:hAnsi="Bookman Old Style"/>
          <w:color w:val="221E1F"/>
        </w:rPr>
        <w:t>ment</w:t>
      </w:r>
      <w:r w:rsidRPr="00BD1A8E">
        <w:rPr>
          <w:rFonts w:ascii="Bookman Old Style" w:hAnsi="Bookman Old Style"/>
          <w:color w:val="000000"/>
        </w:rPr>
        <w:t xml:space="preserve"> </w:t>
      </w:r>
      <w:r w:rsidRPr="00BD1A8E">
        <w:rPr>
          <w:rFonts w:ascii="Bookman Old Style" w:hAnsi="Bookman Old Style"/>
          <w:color w:val="221E1F"/>
        </w:rPr>
        <w:t>trade</w:t>
      </w:r>
      <w:r w:rsidRPr="00BD1A8E">
        <w:rPr>
          <w:rFonts w:ascii="Bookman Old Style" w:hAnsi="Bookman Old Style"/>
          <w:color w:val="000000"/>
        </w:rPr>
        <w:t xml:space="preserve"> </w:t>
      </w:r>
      <w:r w:rsidRPr="00BD1A8E">
        <w:rPr>
          <w:rFonts w:ascii="Bookman Old Style" w:hAnsi="Bookman Old Style"/>
          <w:color w:val="221E1F"/>
        </w:rPr>
        <w:t>facilitation</w:t>
      </w:r>
      <w:r w:rsidRPr="00BD1A8E">
        <w:rPr>
          <w:rFonts w:ascii="Bookman Old Style" w:hAnsi="Bookman Old Style"/>
          <w:color w:val="000000"/>
        </w:rPr>
        <w:t xml:space="preserve"> </w:t>
      </w:r>
      <w:r w:rsidRPr="00BD1A8E">
        <w:rPr>
          <w:rFonts w:ascii="Bookman Old Style" w:hAnsi="Bookman Old Style"/>
          <w:color w:val="221E1F"/>
        </w:rPr>
        <w:t>reform.</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addition,</w:t>
      </w:r>
      <w:r w:rsidRPr="00BD1A8E">
        <w:rPr>
          <w:rFonts w:ascii="Bookman Old Style" w:hAnsi="Bookman Old Style"/>
          <w:color w:val="000000"/>
        </w:rPr>
        <w:t xml:space="preserve"> </w:t>
      </w:r>
      <w:r w:rsidRPr="00BD1A8E">
        <w:rPr>
          <w:rFonts w:ascii="Bookman Old Style" w:hAnsi="Bookman Old Style"/>
          <w:color w:val="221E1F"/>
        </w:rPr>
        <w:t>a</w:t>
      </w:r>
      <w:r w:rsidRPr="00BD1A8E">
        <w:rPr>
          <w:rFonts w:ascii="Bookman Old Style" w:hAnsi="Bookman Old Style"/>
          <w:color w:val="000000"/>
        </w:rPr>
        <w:t xml:space="preserve"> </w:t>
      </w:r>
      <w:r w:rsidRPr="00BD1A8E">
        <w:rPr>
          <w:rFonts w:ascii="Bookman Old Style" w:hAnsi="Bookman Old Style"/>
          <w:color w:val="221E1F"/>
        </w:rPr>
        <w:t>firm</w:t>
      </w:r>
      <w:r w:rsidRPr="00BD1A8E">
        <w:rPr>
          <w:rFonts w:ascii="Bookman Old Style" w:hAnsi="Bookman Old Style"/>
          <w:color w:val="000000"/>
        </w:rPr>
        <w:t xml:space="preserve"> </w:t>
      </w:r>
      <w:r w:rsidRPr="00BD1A8E">
        <w:rPr>
          <w:rFonts w:ascii="Bookman Old Style" w:hAnsi="Bookman Old Style"/>
          <w:color w:val="221E1F"/>
        </w:rPr>
        <w:t>political</w:t>
      </w:r>
      <w:r w:rsidRPr="00BD1A8E">
        <w:rPr>
          <w:rFonts w:ascii="Bookman Old Style" w:hAnsi="Bookman Old Style"/>
          <w:color w:val="000000"/>
        </w:rPr>
        <w:t xml:space="preserve"> </w:t>
      </w:r>
      <w:r w:rsidRPr="00BD1A8E">
        <w:rPr>
          <w:rFonts w:ascii="Bookman Old Style" w:hAnsi="Bookman Old Style"/>
          <w:color w:val="221E1F"/>
        </w:rPr>
        <w:t>commitment</w:t>
      </w:r>
      <w:r w:rsidRPr="00BD1A8E">
        <w:rPr>
          <w:rFonts w:ascii="Bookman Old Style" w:hAnsi="Bookman Old Style"/>
          <w:color w:val="000000"/>
        </w:rPr>
        <w:t xml:space="preserve"> </w:t>
      </w:r>
      <w:r w:rsidRPr="00BD1A8E">
        <w:rPr>
          <w:rFonts w:ascii="Bookman Old Style" w:hAnsi="Bookman Old Style"/>
          <w:color w:val="221E1F"/>
        </w:rPr>
        <w:t>is</w:t>
      </w:r>
      <w:r w:rsidRPr="00BD1A8E">
        <w:rPr>
          <w:rFonts w:ascii="Bookman Old Style" w:hAnsi="Bookman Old Style"/>
          <w:color w:val="000000"/>
        </w:rPr>
        <w:t xml:space="preserve"> </w:t>
      </w:r>
      <w:r w:rsidRPr="00BD1A8E">
        <w:rPr>
          <w:rFonts w:ascii="Bookman Old Style" w:hAnsi="Bookman Old Style"/>
          <w:color w:val="221E1F"/>
        </w:rPr>
        <w:t>often</w:t>
      </w:r>
      <w:r w:rsidRPr="00BD1A8E">
        <w:rPr>
          <w:rFonts w:ascii="Bookman Old Style" w:hAnsi="Bookman Old Style"/>
          <w:color w:val="000000"/>
        </w:rPr>
        <w:t xml:space="preserve"> </w:t>
      </w:r>
      <w:r w:rsidRPr="00BD1A8E">
        <w:rPr>
          <w:rFonts w:ascii="Bookman Old Style" w:hAnsi="Bookman Old Style"/>
          <w:color w:val="221E1F"/>
        </w:rPr>
        <w:t>essential</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overcome</w:t>
      </w:r>
      <w:r w:rsidRPr="00BD1A8E">
        <w:rPr>
          <w:rFonts w:ascii="Bookman Old Style" w:hAnsi="Bookman Old Style"/>
          <w:color w:val="000000"/>
        </w:rPr>
        <w:t xml:space="preserve"> </w:t>
      </w:r>
      <w:r w:rsidRPr="00BD1A8E">
        <w:rPr>
          <w:rFonts w:ascii="Bookman Old Style" w:hAnsi="Bookman Old Style"/>
          <w:color w:val="221E1F"/>
        </w:rPr>
        <w:t>possible</w:t>
      </w:r>
      <w:r w:rsidRPr="00BD1A8E">
        <w:rPr>
          <w:rFonts w:ascii="Bookman Old Style" w:hAnsi="Bookman Old Style"/>
          <w:color w:val="000000"/>
        </w:rPr>
        <w:t xml:space="preserve"> </w:t>
      </w:r>
      <w:r w:rsidRPr="00BD1A8E">
        <w:rPr>
          <w:rFonts w:ascii="Bookman Old Style" w:hAnsi="Bookman Old Style"/>
          <w:color w:val="221E1F"/>
        </w:rPr>
        <w:t>opposition</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resistance</w:t>
      </w:r>
      <w:r w:rsidRPr="00BD1A8E">
        <w:rPr>
          <w:rFonts w:ascii="Bookman Old Style" w:hAnsi="Bookman Old Style"/>
          <w:color w:val="000000"/>
        </w:rPr>
        <w:t xml:space="preserve"> </w:t>
      </w:r>
      <w:r w:rsidRPr="00BD1A8E">
        <w:rPr>
          <w:rFonts w:ascii="Bookman Old Style" w:hAnsi="Bookman Old Style"/>
          <w:color w:val="221E1F"/>
        </w:rPr>
        <w:t>by</w:t>
      </w:r>
      <w:r w:rsidRPr="00BD1A8E">
        <w:rPr>
          <w:rFonts w:ascii="Bookman Old Style" w:hAnsi="Bookman Old Style"/>
          <w:color w:val="000000"/>
        </w:rPr>
        <w:t xml:space="preserve"> </w:t>
      </w:r>
      <w:r w:rsidRPr="00BD1A8E">
        <w:rPr>
          <w:rFonts w:ascii="Bookman Old Style" w:hAnsi="Bookman Old Style"/>
          <w:color w:val="221E1F"/>
        </w:rPr>
        <w:t>some</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stakeholders</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public</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private</w:t>
      </w:r>
      <w:r w:rsidRPr="00BD1A8E">
        <w:rPr>
          <w:rFonts w:ascii="Bookman Old Style" w:hAnsi="Bookman Old Style"/>
          <w:color w:val="000000"/>
        </w:rPr>
        <w:t xml:space="preserve"> </w:t>
      </w:r>
      <w:r w:rsidRPr="00BD1A8E">
        <w:rPr>
          <w:rFonts w:ascii="Bookman Old Style" w:hAnsi="Bookman Old Style"/>
          <w:color w:val="221E1F"/>
        </w:rPr>
        <w:t>sectors</w:t>
      </w:r>
      <w:r w:rsidRPr="00BD1A8E">
        <w:rPr>
          <w:rFonts w:ascii="Bookman Old Style" w:hAnsi="Bookman Old Style"/>
          <w:color w:val="000000"/>
        </w:rPr>
        <w:t xml:space="preserve"> </w:t>
      </w:r>
      <w:r w:rsidRPr="00BD1A8E">
        <w:rPr>
          <w:rFonts w:ascii="Bookman Old Style" w:hAnsi="Bookman Old Style"/>
          <w:color w:val="221E1F"/>
        </w:rPr>
        <w:t>who</w:t>
      </w:r>
      <w:r w:rsidRPr="00BD1A8E">
        <w:rPr>
          <w:rFonts w:ascii="Bookman Old Style" w:hAnsi="Bookman Old Style"/>
          <w:color w:val="000000"/>
        </w:rPr>
        <w:t xml:space="preserve"> </w:t>
      </w:r>
      <w:r w:rsidRPr="00BD1A8E">
        <w:rPr>
          <w:rFonts w:ascii="Bookman Old Style" w:hAnsi="Bookman Old Style"/>
          <w:color w:val="221E1F"/>
        </w:rPr>
        <w:t>gain</w:t>
      </w:r>
      <w:r w:rsidRPr="00BD1A8E">
        <w:rPr>
          <w:rFonts w:ascii="Bookman Old Style" w:hAnsi="Bookman Old Style"/>
          <w:color w:val="000000"/>
        </w:rPr>
        <w:t xml:space="preserve"> </w:t>
      </w:r>
      <w:r w:rsidRPr="00BD1A8E">
        <w:rPr>
          <w:rFonts w:ascii="Bookman Old Style" w:hAnsi="Bookman Old Style"/>
          <w:color w:val="221E1F"/>
        </w:rPr>
        <w:t>from</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existing</w:t>
      </w:r>
      <w:r w:rsidRPr="00BD1A8E">
        <w:rPr>
          <w:rFonts w:ascii="Bookman Old Style" w:hAnsi="Bookman Old Style"/>
          <w:color w:val="000000"/>
        </w:rPr>
        <w:t xml:space="preserve"> </w:t>
      </w:r>
      <w:r w:rsidRPr="00BD1A8E">
        <w:rPr>
          <w:rFonts w:ascii="Bookman Old Style" w:hAnsi="Bookman Old Style"/>
          <w:color w:val="221E1F"/>
        </w:rPr>
        <w:t>system,</w:t>
      </w:r>
      <w:r w:rsidRPr="00BD1A8E">
        <w:rPr>
          <w:rFonts w:ascii="Bookman Old Style" w:hAnsi="Bookman Old Style"/>
          <w:color w:val="000000"/>
        </w:rPr>
        <w:t xml:space="preserve"> </w:t>
      </w:r>
      <w:r w:rsidRPr="00BD1A8E">
        <w:rPr>
          <w:rFonts w:ascii="Bookman Old Style" w:hAnsi="Bookman Old Style"/>
          <w:color w:val="221E1F"/>
        </w:rPr>
        <w:t>including</w:t>
      </w:r>
      <w:r w:rsidRPr="00BD1A8E">
        <w:rPr>
          <w:rFonts w:ascii="Bookman Old Style" w:hAnsi="Bookman Old Style"/>
          <w:color w:val="000000"/>
        </w:rPr>
        <w:t xml:space="preserve"> </w:t>
      </w:r>
      <w:r w:rsidRPr="00BD1A8E">
        <w:rPr>
          <w:rFonts w:ascii="Bookman Old Style" w:hAnsi="Bookman Old Style"/>
          <w:color w:val="221E1F"/>
        </w:rPr>
        <w:t>inefficiencies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relationships,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whose</w:t>
      </w:r>
      <w:r w:rsidRPr="00BD1A8E">
        <w:rPr>
          <w:rFonts w:ascii="Bookman Old Style" w:hAnsi="Bookman Old Style"/>
          <w:color w:val="000000"/>
        </w:rPr>
        <w:t xml:space="preserve"> </w:t>
      </w:r>
      <w:r w:rsidRPr="00BD1A8E">
        <w:rPr>
          <w:rFonts w:ascii="Bookman Old Style" w:hAnsi="Bookman Old Style"/>
          <w:color w:val="221E1F"/>
        </w:rPr>
        <w:t>vested</w:t>
      </w:r>
      <w:r w:rsidRPr="00BD1A8E">
        <w:rPr>
          <w:rFonts w:ascii="Bookman Old Style" w:hAnsi="Bookman Old Style"/>
          <w:color w:val="000000"/>
        </w:rPr>
        <w:t xml:space="preserve"> </w:t>
      </w:r>
      <w:r w:rsidRPr="00BD1A8E">
        <w:rPr>
          <w:rFonts w:ascii="Bookman Old Style" w:hAnsi="Bookman Old Style"/>
          <w:color w:val="221E1F"/>
        </w:rPr>
        <w:t>interests</w:t>
      </w:r>
      <w:r w:rsidRPr="00BD1A8E">
        <w:rPr>
          <w:rFonts w:ascii="Bookman Old Style" w:hAnsi="Bookman Old Style"/>
          <w:color w:val="000000"/>
        </w:rPr>
        <w:t xml:space="preserve"> </w:t>
      </w:r>
      <w:r w:rsidRPr="00BD1A8E">
        <w:rPr>
          <w:rFonts w:ascii="Bookman Old Style" w:hAnsi="Bookman Old Style"/>
          <w:color w:val="221E1F"/>
        </w:rPr>
        <w:t>could</w:t>
      </w:r>
      <w:r w:rsidRPr="00BD1A8E">
        <w:rPr>
          <w:rFonts w:ascii="Bookman Old Style" w:hAnsi="Bookman Old Style"/>
          <w:color w:val="000000"/>
        </w:rPr>
        <w:t xml:space="preserve"> </w:t>
      </w:r>
      <w:r w:rsidRPr="00BD1A8E">
        <w:rPr>
          <w:rFonts w:ascii="Bookman Old Style" w:hAnsi="Bookman Old Style"/>
          <w:color w:val="221E1F"/>
        </w:rPr>
        <w:t>be</w:t>
      </w:r>
      <w:r w:rsidRPr="00BD1A8E">
        <w:rPr>
          <w:rFonts w:ascii="Bookman Old Style" w:hAnsi="Bookman Old Style"/>
          <w:color w:val="000000"/>
        </w:rPr>
        <w:t xml:space="preserve"> </w:t>
      </w:r>
      <w:r w:rsidRPr="00BD1A8E">
        <w:rPr>
          <w:rFonts w:ascii="Bookman Old Style" w:hAnsi="Bookman Old Style"/>
          <w:color w:val="221E1F"/>
        </w:rPr>
        <w:t>defused</w:t>
      </w:r>
      <w:r w:rsidRPr="00BD1A8E">
        <w:rPr>
          <w:rFonts w:ascii="Bookman Old Style" w:hAnsi="Bookman Old Style"/>
          <w:color w:val="000000"/>
        </w:rPr>
        <w:t xml:space="preserve"> </w:t>
      </w:r>
      <w:r w:rsidRPr="00BD1A8E">
        <w:rPr>
          <w:rFonts w:ascii="Bookman Old Style" w:hAnsi="Bookman Old Style"/>
          <w:color w:val="221E1F"/>
        </w:rPr>
        <w:t>with</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trade</w:t>
      </w:r>
      <w:r w:rsidRPr="00BD1A8E">
        <w:rPr>
          <w:rFonts w:ascii="Bookman Old Style" w:hAnsi="Bookman Old Style"/>
          <w:color w:val="000000"/>
        </w:rPr>
        <w:t xml:space="preserve"> </w:t>
      </w:r>
      <w:r w:rsidRPr="00BD1A8E">
        <w:rPr>
          <w:rFonts w:ascii="Bookman Old Style" w:hAnsi="Bookman Old Style"/>
          <w:color w:val="221E1F"/>
        </w:rPr>
        <w:t>facilitation</w:t>
      </w:r>
      <w:r w:rsidRPr="00BD1A8E">
        <w:rPr>
          <w:rFonts w:ascii="Bookman Old Style" w:hAnsi="Bookman Old Style"/>
          <w:color w:val="000000"/>
        </w:rPr>
        <w:t xml:space="preserve"> </w:t>
      </w:r>
      <w:r w:rsidRPr="00BD1A8E">
        <w:rPr>
          <w:rFonts w:ascii="Bookman Old Style" w:hAnsi="Bookman Old Style"/>
          <w:color w:val="221E1F"/>
        </w:rPr>
        <w:t>reform (Brandi,</w:t>
      </w:r>
      <w:r w:rsidRPr="00BD1A8E">
        <w:rPr>
          <w:rFonts w:ascii="Bookman Old Style" w:hAnsi="Bookman Old Style"/>
          <w:color w:val="000000"/>
        </w:rPr>
        <w:t xml:space="preserve"> </w:t>
      </w:r>
      <w:r w:rsidRPr="00BD1A8E">
        <w:rPr>
          <w:rFonts w:ascii="Bookman Old Style" w:hAnsi="Bookman Old Style"/>
          <w:color w:val="221E1F"/>
        </w:rPr>
        <w:t xml:space="preserve">2013; Holler </w:t>
      </w:r>
      <w:r w:rsidRPr="00BD1A8E">
        <w:rPr>
          <w:rFonts w:ascii="Bookman Old Style" w:hAnsi="Bookman Old Style"/>
          <w:iCs/>
          <w:color w:val="221E1F"/>
        </w:rPr>
        <w:t>et al</w:t>
      </w:r>
      <w:r w:rsidRPr="00BD1A8E">
        <w:rPr>
          <w:rFonts w:ascii="Bookman Old Style" w:hAnsi="Bookman Old Style"/>
          <w:color w:val="221E1F"/>
        </w:rPr>
        <w:t>.,</w:t>
      </w:r>
      <w:r w:rsidRPr="00BD1A8E">
        <w:rPr>
          <w:rFonts w:ascii="Bookman Old Style" w:hAnsi="Bookman Old Style"/>
          <w:color w:val="000000"/>
        </w:rPr>
        <w:t xml:space="preserve"> </w:t>
      </w:r>
      <w:r w:rsidRPr="00BD1A8E">
        <w:rPr>
          <w:rFonts w:ascii="Bookman Old Style" w:hAnsi="Bookman Old Style"/>
          <w:color w:val="221E1F"/>
        </w:rPr>
        <w:t>2014; World</w:t>
      </w:r>
      <w:r w:rsidRPr="00BD1A8E">
        <w:rPr>
          <w:rFonts w:ascii="Bookman Old Style" w:hAnsi="Bookman Old Style"/>
          <w:color w:val="000000"/>
        </w:rPr>
        <w:t xml:space="preserve"> </w:t>
      </w:r>
      <w:r w:rsidRPr="00BD1A8E">
        <w:rPr>
          <w:rFonts w:ascii="Bookman Old Style" w:hAnsi="Bookman Old Style"/>
          <w:color w:val="221E1F"/>
        </w:rPr>
        <w:lastRenderedPageBreak/>
        <w:t>Bank,</w:t>
      </w:r>
      <w:r w:rsidRPr="00BD1A8E">
        <w:rPr>
          <w:rFonts w:ascii="Bookman Old Style" w:hAnsi="Bookman Old Style"/>
          <w:color w:val="000000"/>
        </w:rPr>
        <w:t xml:space="preserve"> </w:t>
      </w:r>
      <w:r w:rsidRPr="00BD1A8E">
        <w:rPr>
          <w:rFonts w:ascii="Bookman Old Style" w:hAnsi="Bookman Old Style"/>
          <w:color w:val="221E1F"/>
        </w:rPr>
        <w:t xml:space="preserve">2006b). </w:t>
      </w:r>
    </w:p>
    <w:p w14:paraId="331C2719" w14:textId="77777777" w:rsidR="00FB5722" w:rsidRPr="00BD1A8E" w:rsidRDefault="00FB5722" w:rsidP="00FB5722">
      <w:pPr>
        <w:rPr>
          <w:rFonts w:ascii="Bookman Old Style" w:hAnsi="Bookman Old Style"/>
        </w:rPr>
      </w:pPr>
    </w:p>
    <w:p w14:paraId="5A14BF93" w14:textId="77777777" w:rsidR="00FB5722" w:rsidRPr="00BD1A8E" w:rsidRDefault="00FB5722" w:rsidP="00FB5722">
      <w:pPr>
        <w:pStyle w:val="Pa11"/>
        <w:numPr>
          <w:ilvl w:val="0"/>
          <w:numId w:val="72"/>
        </w:numPr>
        <w:jc w:val="both"/>
        <w:rPr>
          <w:rFonts w:ascii="Bookman Old Style" w:hAnsi="Bookman Old Style"/>
          <w:color w:val="221E1F"/>
        </w:rPr>
      </w:pPr>
      <w:r w:rsidRPr="00BD1A8E">
        <w:rPr>
          <w:rFonts w:ascii="Bookman Old Style" w:hAnsi="Bookman Old Style"/>
          <w:color w:val="221E1F"/>
        </w:rPr>
        <w:t>Financial,</w:t>
      </w:r>
      <w:r w:rsidRPr="00BD1A8E">
        <w:rPr>
          <w:rFonts w:ascii="Bookman Old Style" w:hAnsi="Bookman Old Style"/>
          <w:color w:val="000000"/>
        </w:rPr>
        <w:t xml:space="preserve"> </w:t>
      </w:r>
      <w:r w:rsidRPr="00BD1A8E">
        <w:rPr>
          <w:rFonts w:ascii="Bookman Old Style" w:hAnsi="Bookman Old Style"/>
          <w:color w:val="221E1F"/>
        </w:rPr>
        <w:t>human</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material</w:t>
      </w:r>
      <w:r w:rsidRPr="00BD1A8E">
        <w:rPr>
          <w:rFonts w:ascii="Bookman Old Style" w:hAnsi="Bookman Old Style"/>
          <w:color w:val="000000"/>
        </w:rPr>
        <w:t xml:space="preserve"> </w:t>
      </w:r>
      <w:r w:rsidRPr="00BD1A8E">
        <w:rPr>
          <w:rFonts w:ascii="Bookman Old Style" w:hAnsi="Bookman Old Style"/>
          <w:color w:val="221E1F"/>
        </w:rPr>
        <w:t>resources are other factor for consideration. Adequate</w:t>
      </w:r>
      <w:r w:rsidRPr="00BD1A8E">
        <w:rPr>
          <w:rFonts w:ascii="Bookman Old Style" w:hAnsi="Bookman Old Style"/>
          <w:color w:val="000000"/>
        </w:rPr>
        <w:t xml:space="preserve"> </w:t>
      </w:r>
      <w:r w:rsidRPr="00BD1A8E">
        <w:rPr>
          <w:rFonts w:ascii="Bookman Old Style" w:hAnsi="Bookman Old Style"/>
          <w:color w:val="221E1F"/>
        </w:rPr>
        <w:t>human</w:t>
      </w:r>
      <w:r w:rsidRPr="00BD1A8E">
        <w:rPr>
          <w:rFonts w:ascii="Bookman Old Style" w:hAnsi="Bookman Old Style"/>
          <w:color w:val="000000"/>
        </w:rPr>
        <w:t xml:space="preserve"> </w:t>
      </w:r>
      <w:r w:rsidRPr="00BD1A8E">
        <w:rPr>
          <w:rFonts w:ascii="Bookman Old Style" w:hAnsi="Bookman Old Style"/>
          <w:color w:val="221E1F"/>
        </w:rPr>
        <w:t>resources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organizational</w:t>
      </w:r>
      <w:r w:rsidRPr="00BD1A8E">
        <w:rPr>
          <w:rFonts w:ascii="Bookman Old Style" w:hAnsi="Bookman Old Style"/>
          <w:color w:val="000000"/>
        </w:rPr>
        <w:t xml:space="preserve"> </w:t>
      </w:r>
      <w:r w:rsidRPr="00BD1A8E">
        <w:rPr>
          <w:rFonts w:ascii="Bookman Old Style" w:hAnsi="Bookman Old Style"/>
          <w:color w:val="221E1F"/>
        </w:rPr>
        <w:t>management,</w:t>
      </w:r>
      <w:r w:rsidRPr="00BD1A8E">
        <w:rPr>
          <w:rFonts w:ascii="Bookman Old Style" w:hAnsi="Bookman Old Style"/>
          <w:color w:val="000000"/>
        </w:rPr>
        <w:t xml:space="preserve"> </w:t>
      </w:r>
      <w:r w:rsidRPr="00BD1A8E">
        <w:rPr>
          <w:rFonts w:ascii="Bookman Old Style" w:hAnsi="Bookman Old Style"/>
          <w:color w:val="221E1F"/>
        </w:rPr>
        <w:t>mentioned</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61</w:t>
      </w:r>
      <w:r w:rsidRPr="00BD1A8E">
        <w:rPr>
          <w:rFonts w:ascii="Bookman Old Style" w:hAnsi="Bookman Old Style"/>
          <w:color w:val="000000"/>
        </w:rPr>
        <w:t> </w:t>
      </w:r>
      <w:r w:rsidRPr="00BD1A8E">
        <w:rPr>
          <w:rFonts w:ascii="Bookman Old Style" w:hAnsi="Bookman Old Style"/>
          <w:color w:val="221E1F"/>
        </w:rPr>
        <w:t>case</w:t>
      </w:r>
      <w:r w:rsidRPr="00BD1A8E">
        <w:rPr>
          <w:rFonts w:ascii="Bookman Old Style" w:hAnsi="Bookman Old Style"/>
          <w:color w:val="000000"/>
        </w:rPr>
        <w:t xml:space="preserve"> </w:t>
      </w:r>
      <w:r w:rsidRPr="00BD1A8E">
        <w:rPr>
          <w:rFonts w:ascii="Bookman Old Style" w:hAnsi="Bookman Old Style"/>
          <w:color w:val="221E1F"/>
        </w:rPr>
        <w:t>stories,</w:t>
      </w:r>
      <w:r w:rsidRPr="00BD1A8E">
        <w:rPr>
          <w:rFonts w:ascii="Bookman Old Style" w:hAnsi="Bookman Old Style"/>
          <w:color w:val="000000"/>
        </w:rPr>
        <w:t xml:space="preserve"> </w:t>
      </w:r>
      <w:r w:rsidRPr="00BD1A8E">
        <w:rPr>
          <w:rFonts w:ascii="Bookman Old Style" w:hAnsi="Bookman Old Style"/>
          <w:color w:val="221E1F"/>
        </w:rPr>
        <w:t>are</w:t>
      </w:r>
      <w:r w:rsidRPr="00BD1A8E">
        <w:rPr>
          <w:rFonts w:ascii="Bookman Old Style" w:hAnsi="Bookman Old Style"/>
          <w:color w:val="000000"/>
        </w:rPr>
        <w:t xml:space="preserve"> </w:t>
      </w:r>
      <w:r w:rsidRPr="00BD1A8E">
        <w:rPr>
          <w:rFonts w:ascii="Bookman Old Style" w:hAnsi="Bookman Old Style"/>
          <w:color w:val="221E1F"/>
        </w:rPr>
        <w:t>also</w:t>
      </w:r>
      <w:r w:rsidRPr="00BD1A8E">
        <w:rPr>
          <w:rFonts w:ascii="Bookman Old Style" w:hAnsi="Bookman Old Style"/>
          <w:color w:val="000000"/>
        </w:rPr>
        <w:t xml:space="preserve"> </w:t>
      </w:r>
      <w:r w:rsidRPr="00BD1A8E">
        <w:rPr>
          <w:rFonts w:ascii="Bookman Old Style" w:hAnsi="Bookman Old Style"/>
          <w:color w:val="221E1F"/>
        </w:rPr>
        <w:t>reported</w:t>
      </w:r>
      <w:r w:rsidRPr="00BD1A8E">
        <w:rPr>
          <w:rFonts w:ascii="Bookman Old Style" w:hAnsi="Bookman Old Style"/>
          <w:color w:val="000000"/>
        </w:rPr>
        <w:t xml:space="preserve"> </w:t>
      </w:r>
      <w:r w:rsidRPr="00BD1A8E">
        <w:rPr>
          <w:rFonts w:ascii="Bookman Old Style" w:hAnsi="Bookman Old Style"/>
          <w:color w:val="221E1F"/>
        </w:rPr>
        <w:t>as</w:t>
      </w:r>
      <w:r w:rsidRPr="00BD1A8E">
        <w:rPr>
          <w:rFonts w:ascii="Bookman Old Style" w:hAnsi="Bookman Old Style"/>
          <w:color w:val="000000"/>
        </w:rPr>
        <w:t xml:space="preserve"> </w:t>
      </w:r>
      <w:r w:rsidRPr="00BD1A8E">
        <w:rPr>
          <w:rFonts w:ascii="Bookman Old Style" w:hAnsi="Bookman Old Style"/>
          <w:color w:val="221E1F"/>
        </w:rPr>
        <w:t>a</w:t>
      </w:r>
      <w:r w:rsidRPr="00BD1A8E">
        <w:rPr>
          <w:rFonts w:ascii="Bookman Old Style" w:hAnsi="Bookman Old Style"/>
          <w:color w:val="000000"/>
        </w:rPr>
        <w:t xml:space="preserve"> </w:t>
      </w:r>
      <w:r w:rsidRPr="00BD1A8E">
        <w:rPr>
          <w:rFonts w:ascii="Bookman Old Style" w:hAnsi="Bookman Old Style"/>
          <w:color w:val="221E1F"/>
        </w:rPr>
        <w:t>critical</w:t>
      </w:r>
      <w:r w:rsidRPr="00BD1A8E">
        <w:rPr>
          <w:rFonts w:ascii="Bookman Old Style" w:hAnsi="Bookman Old Style"/>
          <w:color w:val="000000"/>
        </w:rPr>
        <w:t xml:space="preserve"> </w:t>
      </w:r>
      <w:r w:rsidRPr="00BD1A8E">
        <w:rPr>
          <w:rFonts w:ascii="Bookman Old Style" w:hAnsi="Bookman Old Style"/>
          <w:color w:val="221E1F"/>
        </w:rPr>
        <w:t>element</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enhancing</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quality</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integrity</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staff</w:t>
      </w:r>
      <w:r w:rsidRPr="00BD1A8E">
        <w:rPr>
          <w:rFonts w:ascii="Bookman Old Style" w:hAnsi="Bookman Old Style"/>
          <w:color w:val="000000"/>
        </w:rPr>
        <w:t xml:space="preserve"> </w:t>
      </w:r>
      <w:r w:rsidRPr="00BD1A8E">
        <w:rPr>
          <w:rFonts w:ascii="Bookman Old Style" w:hAnsi="Bookman Old Style"/>
          <w:color w:val="221E1F"/>
        </w:rPr>
        <w:t>with</w:t>
      </w:r>
      <w:r w:rsidRPr="00BD1A8E">
        <w:rPr>
          <w:rFonts w:ascii="Bookman Old Style" w:hAnsi="Bookman Old Style"/>
          <w:color w:val="000000"/>
        </w:rPr>
        <w:t xml:space="preserve"> </w:t>
      </w:r>
      <w:r w:rsidRPr="00BD1A8E">
        <w:rPr>
          <w:rFonts w:ascii="Bookman Old Style" w:hAnsi="Bookman Old Style"/>
          <w:color w:val="221E1F"/>
        </w:rPr>
        <w:t>respect</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trade</w:t>
      </w:r>
      <w:r w:rsidRPr="00BD1A8E">
        <w:rPr>
          <w:rFonts w:ascii="Bookman Old Style" w:hAnsi="Bookman Old Style"/>
          <w:color w:val="000000"/>
        </w:rPr>
        <w:t xml:space="preserve"> </w:t>
      </w:r>
      <w:r w:rsidRPr="00BD1A8E">
        <w:rPr>
          <w:rFonts w:ascii="Bookman Old Style" w:hAnsi="Bookman Old Style"/>
          <w:color w:val="221E1F"/>
        </w:rPr>
        <w:t>facilitation</w:t>
      </w:r>
      <w:r w:rsidRPr="00BD1A8E">
        <w:rPr>
          <w:rFonts w:ascii="Bookman Old Style" w:hAnsi="Bookman Old Style"/>
          <w:color w:val="000000"/>
        </w:rPr>
        <w:t xml:space="preserve"> </w:t>
      </w:r>
      <w:r w:rsidRPr="00BD1A8E">
        <w:rPr>
          <w:rFonts w:ascii="Bookman Old Style" w:hAnsi="Bookman Old Style"/>
          <w:color w:val="221E1F"/>
        </w:rPr>
        <w:t>initiative (World</w:t>
      </w:r>
      <w:r w:rsidRPr="00BD1A8E">
        <w:rPr>
          <w:rFonts w:ascii="Bookman Old Style" w:hAnsi="Bookman Old Style"/>
          <w:color w:val="000000"/>
        </w:rPr>
        <w:t xml:space="preserve"> </w:t>
      </w:r>
      <w:r w:rsidRPr="00BD1A8E">
        <w:rPr>
          <w:rFonts w:ascii="Bookman Old Style" w:hAnsi="Bookman Old Style"/>
          <w:color w:val="221E1F"/>
        </w:rPr>
        <w:t>Bank,</w:t>
      </w:r>
      <w:r w:rsidRPr="00BD1A8E">
        <w:rPr>
          <w:rFonts w:ascii="Bookman Old Style" w:hAnsi="Bookman Old Style"/>
          <w:color w:val="000000"/>
        </w:rPr>
        <w:t xml:space="preserve"> </w:t>
      </w:r>
      <w:r w:rsidRPr="00BD1A8E">
        <w:rPr>
          <w:rFonts w:ascii="Bookman Old Style" w:hAnsi="Bookman Old Style"/>
          <w:color w:val="221E1F"/>
        </w:rPr>
        <w:t>2006b).</w:t>
      </w:r>
      <w:r w:rsidRPr="00BD1A8E">
        <w:rPr>
          <w:rFonts w:ascii="Bookman Old Style" w:hAnsi="Bookman Old Style"/>
          <w:color w:val="000000"/>
        </w:rPr>
        <w:t xml:space="preserve"> </w:t>
      </w:r>
      <w:r w:rsidRPr="00BD1A8E">
        <w:rPr>
          <w:rFonts w:ascii="Bookman Old Style" w:hAnsi="Bookman Old Style"/>
          <w:color w:val="221E1F"/>
        </w:rPr>
        <w:t>As</w:t>
      </w:r>
      <w:r w:rsidRPr="00BD1A8E">
        <w:rPr>
          <w:rFonts w:ascii="Bookman Old Style" w:hAnsi="Bookman Old Style"/>
          <w:color w:val="000000"/>
        </w:rPr>
        <w:t xml:space="preserve"> </w:t>
      </w:r>
      <w:r w:rsidRPr="00BD1A8E">
        <w:rPr>
          <w:rFonts w:ascii="Bookman Old Style" w:hAnsi="Bookman Old Style"/>
          <w:color w:val="221E1F"/>
        </w:rPr>
        <w:t>highlighted</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37</w:t>
      </w:r>
      <w:r w:rsidRPr="00BD1A8E">
        <w:rPr>
          <w:rFonts w:ascii="Bookman Old Style" w:hAnsi="Bookman Old Style"/>
          <w:color w:val="000000"/>
        </w:rPr>
        <w:t xml:space="preserve"> </w:t>
      </w:r>
      <w:r w:rsidRPr="00BD1A8E">
        <w:rPr>
          <w:rFonts w:ascii="Bookman Old Style" w:hAnsi="Bookman Old Style"/>
          <w:color w:val="221E1F"/>
        </w:rPr>
        <w:t>case</w:t>
      </w:r>
      <w:r w:rsidRPr="00BD1A8E">
        <w:rPr>
          <w:rFonts w:ascii="Bookman Old Style" w:hAnsi="Bookman Old Style"/>
          <w:color w:val="000000"/>
        </w:rPr>
        <w:t xml:space="preserve"> </w:t>
      </w:r>
      <w:r w:rsidRPr="00BD1A8E">
        <w:rPr>
          <w:rFonts w:ascii="Bookman Old Style" w:hAnsi="Bookman Old Style"/>
          <w:color w:val="221E1F"/>
        </w:rPr>
        <w:t>stories,</w:t>
      </w:r>
      <w:r w:rsidRPr="00BD1A8E">
        <w:rPr>
          <w:rFonts w:ascii="Bookman Old Style" w:hAnsi="Bookman Old Style"/>
          <w:color w:val="000000"/>
        </w:rPr>
        <w:t xml:space="preserve"> </w:t>
      </w:r>
      <w:r w:rsidRPr="00BD1A8E">
        <w:rPr>
          <w:rFonts w:ascii="Bookman Old Style" w:hAnsi="Bookman Old Style"/>
          <w:color w:val="221E1F"/>
        </w:rPr>
        <w:t>trade</w:t>
      </w:r>
      <w:r w:rsidRPr="00BD1A8E">
        <w:rPr>
          <w:rFonts w:ascii="Bookman Old Style" w:hAnsi="Bookman Old Style"/>
          <w:color w:val="000000"/>
        </w:rPr>
        <w:t xml:space="preserve"> </w:t>
      </w:r>
      <w:r w:rsidRPr="00BD1A8E">
        <w:rPr>
          <w:rFonts w:ascii="Bookman Old Style" w:hAnsi="Bookman Old Style"/>
          <w:color w:val="221E1F"/>
        </w:rPr>
        <w:t>facilitation</w:t>
      </w:r>
      <w:r w:rsidRPr="00BD1A8E">
        <w:rPr>
          <w:rFonts w:ascii="Bookman Old Style" w:hAnsi="Bookman Old Style"/>
          <w:color w:val="000000"/>
        </w:rPr>
        <w:t xml:space="preserve"> </w:t>
      </w:r>
      <w:r w:rsidRPr="00BD1A8E">
        <w:rPr>
          <w:rFonts w:ascii="Bookman Old Style" w:hAnsi="Bookman Old Style"/>
          <w:color w:val="221E1F"/>
        </w:rPr>
        <w:t>often</w:t>
      </w:r>
      <w:r w:rsidRPr="00BD1A8E">
        <w:rPr>
          <w:rFonts w:ascii="Bookman Old Style" w:hAnsi="Bookman Old Style"/>
          <w:color w:val="000000"/>
        </w:rPr>
        <w:t xml:space="preserve"> </w:t>
      </w:r>
      <w:r w:rsidRPr="00BD1A8E">
        <w:rPr>
          <w:rFonts w:ascii="Bookman Old Style" w:hAnsi="Bookman Old Style"/>
          <w:color w:val="221E1F"/>
        </w:rPr>
        <w:t>requires</w:t>
      </w:r>
      <w:r w:rsidRPr="00BD1A8E">
        <w:rPr>
          <w:rFonts w:ascii="Bookman Old Style" w:hAnsi="Bookman Old Style"/>
          <w:color w:val="000000"/>
        </w:rPr>
        <w:t xml:space="preserve"> </w:t>
      </w:r>
      <w:r w:rsidRPr="00BD1A8E">
        <w:rPr>
          <w:rFonts w:ascii="Bookman Old Style" w:hAnsi="Bookman Old Style"/>
          <w:color w:val="221E1F"/>
        </w:rPr>
        <w:t>specific</w:t>
      </w:r>
      <w:r w:rsidRPr="00BD1A8E">
        <w:rPr>
          <w:rFonts w:ascii="Bookman Old Style" w:hAnsi="Bookman Old Style"/>
          <w:color w:val="000000"/>
        </w:rPr>
        <w:t xml:space="preserve"> </w:t>
      </w:r>
      <w:r w:rsidRPr="00BD1A8E">
        <w:rPr>
          <w:rFonts w:ascii="Bookman Old Style" w:hAnsi="Bookman Old Style"/>
          <w:color w:val="221E1F"/>
        </w:rPr>
        <w:t>technical</w:t>
      </w:r>
      <w:r w:rsidRPr="00BD1A8E">
        <w:rPr>
          <w:rFonts w:ascii="Bookman Old Style" w:hAnsi="Bookman Old Style"/>
          <w:color w:val="000000"/>
        </w:rPr>
        <w:t xml:space="preserve"> </w:t>
      </w:r>
      <w:r w:rsidRPr="00BD1A8E">
        <w:rPr>
          <w:rFonts w:ascii="Bookman Old Style" w:hAnsi="Bookman Old Style"/>
          <w:color w:val="221E1F"/>
        </w:rPr>
        <w:t>expertise.</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this</w:t>
      </w:r>
      <w:r w:rsidRPr="00BD1A8E">
        <w:rPr>
          <w:rFonts w:ascii="Bookman Old Style" w:hAnsi="Bookman Old Style"/>
          <w:color w:val="000000"/>
        </w:rPr>
        <w:t xml:space="preserve"> </w:t>
      </w:r>
      <w:r w:rsidRPr="00BD1A8E">
        <w:rPr>
          <w:rFonts w:ascii="Bookman Old Style" w:hAnsi="Bookman Old Style"/>
          <w:color w:val="221E1F"/>
        </w:rPr>
        <w:t>context,</w:t>
      </w:r>
      <w:r w:rsidRPr="00BD1A8E">
        <w:rPr>
          <w:rFonts w:ascii="Bookman Old Style" w:hAnsi="Bookman Old Style"/>
          <w:color w:val="000000"/>
        </w:rPr>
        <w:t xml:space="preserve"> </w:t>
      </w:r>
      <w:r w:rsidRPr="00BD1A8E">
        <w:rPr>
          <w:rFonts w:ascii="Bookman Old Style" w:hAnsi="Bookman Old Style"/>
          <w:color w:val="221E1F"/>
        </w:rPr>
        <w:t>on-the-job</w:t>
      </w:r>
      <w:r w:rsidRPr="00BD1A8E">
        <w:rPr>
          <w:rFonts w:ascii="Bookman Old Style" w:hAnsi="Bookman Old Style"/>
          <w:color w:val="000000"/>
        </w:rPr>
        <w:t xml:space="preserve"> </w:t>
      </w:r>
      <w:r w:rsidRPr="00BD1A8E">
        <w:rPr>
          <w:rFonts w:ascii="Bookman Old Style" w:hAnsi="Bookman Old Style"/>
          <w:color w:val="221E1F"/>
        </w:rPr>
        <w:t>training,</w:t>
      </w:r>
      <w:r w:rsidRPr="00BD1A8E">
        <w:rPr>
          <w:rFonts w:ascii="Bookman Old Style" w:hAnsi="Bookman Old Style"/>
          <w:color w:val="000000"/>
        </w:rPr>
        <w:t xml:space="preserve"> </w:t>
      </w:r>
      <w:r w:rsidRPr="00BD1A8E">
        <w:rPr>
          <w:rFonts w:ascii="Bookman Old Style" w:hAnsi="Bookman Old Style"/>
          <w:color w:val="221E1F"/>
        </w:rPr>
        <w:t>including</w:t>
      </w:r>
      <w:r w:rsidRPr="00BD1A8E">
        <w:rPr>
          <w:rFonts w:ascii="Bookman Old Style" w:hAnsi="Bookman Old Style"/>
          <w:color w:val="000000"/>
        </w:rPr>
        <w:t xml:space="preserve"> </w:t>
      </w:r>
      <w:r w:rsidRPr="00BD1A8E">
        <w:rPr>
          <w:rFonts w:ascii="Bookman Old Style" w:hAnsi="Bookman Old Style"/>
          <w:color w:val="221E1F"/>
        </w:rPr>
        <w:t>through</w:t>
      </w:r>
      <w:r w:rsidRPr="00BD1A8E">
        <w:rPr>
          <w:rFonts w:ascii="Bookman Old Style" w:hAnsi="Bookman Old Style"/>
          <w:color w:val="000000"/>
        </w:rPr>
        <w:t xml:space="preserve"> </w:t>
      </w:r>
      <w:r w:rsidRPr="00BD1A8E">
        <w:rPr>
          <w:rFonts w:ascii="Bookman Old Style" w:hAnsi="Bookman Old Style"/>
          <w:color w:val="221E1F"/>
        </w:rPr>
        <w:t>technical</w:t>
      </w:r>
      <w:r w:rsidRPr="00BD1A8E">
        <w:rPr>
          <w:rFonts w:ascii="Bookman Old Style" w:hAnsi="Bookman Old Style"/>
          <w:color w:val="000000"/>
        </w:rPr>
        <w:t xml:space="preserve"> </w:t>
      </w:r>
      <w:r w:rsidRPr="00BD1A8E">
        <w:rPr>
          <w:rFonts w:ascii="Bookman Old Style" w:hAnsi="Bookman Old Style"/>
          <w:color w:val="221E1F"/>
        </w:rPr>
        <w:t>assistance</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capacity-building</w:t>
      </w:r>
      <w:r w:rsidRPr="00BD1A8E">
        <w:rPr>
          <w:rFonts w:ascii="Bookman Old Style" w:hAnsi="Bookman Old Style"/>
          <w:color w:val="000000"/>
        </w:rPr>
        <w:t xml:space="preserve"> </w:t>
      </w:r>
      <w:r w:rsidRPr="00BD1A8E">
        <w:rPr>
          <w:rFonts w:ascii="Bookman Old Style" w:hAnsi="Bookman Old Style"/>
          <w:color w:val="221E1F"/>
        </w:rPr>
        <w:t>activities,</w:t>
      </w:r>
      <w:r w:rsidRPr="00BD1A8E">
        <w:rPr>
          <w:rFonts w:ascii="Bookman Old Style" w:hAnsi="Bookman Old Style"/>
          <w:color w:val="000000"/>
        </w:rPr>
        <w:t xml:space="preserve"> </w:t>
      </w:r>
      <w:r w:rsidRPr="00BD1A8E">
        <w:rPr>
          <w:rFonts w:ascii="Bookman Old Style" w:hAnsi="Bookman Old Style"/>
          <w:color w:val="221E1F"/>
        </w:rPr>
        <w:t>is</w:t>
      </w:r>
      <w:r w:rsidRPr="00BD1A8E">
        <w:rPr>
          <w:rFonts w:ascii="Bookman Old Style" w:hAnsi="Bookman Old Style"/>
          <w:color w:val="000000"/>
        </w:rPr>
        <w:t xml:space="preserve"> </w:t>
      </w:r>
      <w:r w:rsidRPr="00BD1A8E">
        <w:rPr>
          <w:rFonts w:ascii="Bookman Old Style" w:hAnsi="Bookman Old Style"/>
          <w:color w:val="221E1F"/>
        </w:rPr>
        <w:t>key</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ensuring</w:t>
      </w:r>
      <w:r w:rsidRPr="00BD1A8E">
        <w:rPr>
          <w:rFonts w:ascii="Bookman Old Style" w:hAnsi="Bookman Old Style"/>
          <w:color w:val="000000"/>
        </w:rPr>
        <w:t xml:space="preserve"> </w:t>
      </w:r>
      <w:r w:rsidRPr="00BD1A8E">
        <w:rPr>
          <w:rFonts w:ascii="Bookman Old Style" w:hAnsi="Bookman Old Style"/>
          <w:color w:val="221E1F"/>
        </w:rPr>
        <w:t>that</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staff</w:t>
      </w:r>
      <w:r w:rsidRPr="00BD1A8E">
        <w:rPr>
          <w:rFonts w:ascii="Bookman Old Style" w:hAnsi="Bookman Old Style"/>
          <w:color w:val="000000"/>
        </w:rPr>
        <w:t xml:space="preserve"> </w:t>
      </w:r>
      <w:r w:rsidRPr="00BD1A8E">
        <w:rPr>
          <w:rFonts w:ascii="Bookman Old Style" w:hAnsi="Bookman Old Style"/>
          <w:color w:val="221E1F"/>
        </w:rPr>
        <w:t>concerned</w:t>
      </w:r>
      <w:r w:rsidRPr="00BD1A8E">
        <w:rPr>
          <w:rFonts w:ascii="Bookman Old Style" w:hAnsi="Bookman Old Style"/>
          <w:color w:val="000000"/>
        </w:rPr>
        <w:t xml:space="preserve"> </w:t>
      </w:r>
      <w:r w:rsidRPr="00BD1A8E">
        <w:rPr>
          <w:rFonts w:ascii="Bookman Old Style" w:hAnsi="Bookman Old Style"/>
          <w:color w:val="221E1F"/>
        </w:rPr>
        <w:t>acquire</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proper</w:t>
      </w:r>
      <w:r w:rsidRPr="00BD1A8E">
        <w:rPr>
          <w:rFonts w:ascii="Bookman Old Style" w:hAnsi="Bookman Old Style"/>
          <w:color w:val="000000"/>
        </w:rPr>
        <w:t xml:space="preserve"> </w:t>
      </w:r>
      <w:r w:rsidRPr="00BD1A8E">
        <w:rPr>
          <w:rFonts w:ascii="Bookman Old Style" w:hAnsi="Bookman Old Style"/>
          <w:color w:val="221E1F"/>
        </w:rPr>
        <w:t>skills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remain</w:t>
      </w:r>
      <w:r w:rsidRPr="00BD1A8E">
        <w:rPr>
          <w:rFonts w:ascii="Bookman Old Style" w:hAnsi="Bookman Old Style"/>
          <w:color w:val="000000"/>
        </w:rPr>
        <w:t xml:space="preserve"> </w:t>
      </w:r>
      <w:r w:rsidRPr="00BD1A8E">
        <w:rPr>
          <w:rFonts w:ascii="Bookman Old Style" w:hAnsi="Bookman Old Style"/>
          <w:color w:val="221E1F"/>
        </w:rPr>
        <w:t>competent.</w:t>
      </w:r>
      <w:r w:rsidRPr="00BD1A8E">
        <w:rPr>
          <w:rFonts w:ascii="Bookman Old Style" w:hAnsi="Bookman Old Style"/>
          <w:color w:val="000000"/>
        </w:rPr>
        <w:t xml:space="preserve"> </w:t>
      </w:r>
      <w:r w:rsidRPr="00BD1A8E">
        <w:rPr>
          <w:rFonts w:ascii="Bookman Old Style" w:hAnsi="Bookman Old Style"/>
          <w:color w:val="221E1F"/>
        </w:rPr>
        <w:t>Besides</w:t>
      </w:r>
      <w:r w:rsidRPr="00BD1A8E">
        <w:rPr>
          <w:rFonts w:ascii="Bookman Old Style" w:hAnsi="Bookman Old Style"/>
          <w:color w:val="000000"/>
        </w:rPr>
        <w:t xml:space="preserve"> </w:t>
      </w:r>
      <w:r w:rsidRPr="00BD1A8E">
        <w:rPr>
          <w:rFonts w:ascii="Bookman Old Style" w:hAnsi="Bookman Old Style"/>
          <w:color w:val="221E1F"/>
        </w:rPr>
        <w:t>training</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professional</w:t>
      </w:r>
      <w:r w:rsidRPr="00BD1A8E">
        <w:rPr>
          <w:rFonts w:ascii="Bookman Old Style" w:hAnsi="Bookman Old Style"/>
          <w:color w:val="000000"/>
        </w:rPr>
        <w:t xml:space="preserve"> </w:t>
      </w:r>
      <w:r w:rsidRPr="00BD1A8E">
        <w:rPr>
          <w:rFonts w:ascii="Bookman Old Style" w:hAnsi="Bookman Old Style"/>
          <w:color w:val="221E1F"/>
        </w:rPr>
        <w:t>development,</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remuneration,</w:t>
      </w:r>
      <w:r w:rsidRPr="00BD1A8E">
        <w:rPr>
          <w:rFonts w:ascii="Bookman Old Style" w:hAnsi="Bookman Old Style"/>
          <w:color w:val="000000"/>
        </w:rPr>
        <w:t xml:space="preserve"> </w:t>
      </w:r>
      <w:r w:rsidRPr="00BD1A8E">
        <w:rPr>
          <w:rFonts w:ascii="Bookman Old Style" w:hAnsi="Bookman Old Style"/>
          <w:color w:val="221E1F"/>
        </w:rPr>
        <w:t>incentives,</w:t>
      </w:r>
      <w:r w:rsidRPr="00BD1A8E">
        <w:rPr>
          <w:rFonts w:ascii="Bookman Old Style" w:hAnsi="Bookman Old Style"/>
          <w:color w:val="000000"/>
        </w:rPr>
        <w:t xml:space="preserve"> </w:t>
      </w:r>
      <w:r w:rsidRPr="00BD1A8E">
        <w:rPr>
          <w:rFonts w:ascii="Bookman Old Style" w:hAnsi="Bookman Old Style"/>
          <w:color w:val="221E1F"/>
        </w:rPr>
        <w:t>promotion,</w:t>
      </w:r>
      <w:r w:rsidRPr="00BD1A8E">
        <w:rPr>
          <w:rFonts w:ascii="Bookman Old Style" w:hAnsi="Bookman Old Style"/>
          <w:color w:val="000000"/>
        </w:rPr>
        <w:t xml:space="preserve"> </w:t>
      </w:r>
      <w:r w:rsidRPr="00BD1A8E">
        <w:rPr>
          <w:rFonts w:ascii="Bookman Old Style" w:hAnsi="Bookman Old Style"/>
          <w:color w:val="221E1F"/>
        </w:rPr>
        <w:t>rotation</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relocation</w:t>
      </w:r>
      <w:r w:rsidRPr="00BD1A8E">
        <w:rPr>
          <w:rFonts w:ascii="Bookman Old Style" w:hAnsi="Bookman Old Style"/>
          <w:color w:val="000000"/>
        </w:rPr>
        <w:t xml:space="preserve"> </w:t>
      </w:r>
      <w:r w:rsidRPr="00BD1A8E">
        <w:rPr>
          <w:rFonts w:ascii="Bookman Old Style" w:hAnsi="Bookman Old Style"/>
          <w:color w:val="221E1F"/>
        </w:rPr>
        <w:t>offered</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staff</w:t>
      </w:r>
      <w:r w:rsidRPr="00BD1A8E">
        <w:rPr>
          <w:rFonts w:ascii="Bookman Old Style" w:hAnsi="Bookman Old Style"/>
          <w:color w:val="000000"/>
        </w:rPr>
        <w:t xml:space="preserve"> </w:t>
      </w:r>
      <w:r w:rsidRPr="00BD1A8E">
        <w:rPr>
          <w:rFonts w:ascii="Bookman Old Style" w:hAnsi="Bookman Old Style"/>
          <w:color w:val="221E1F"/>
        </w:rPr>
        <w:t>may</w:t>
      </w:r>
      <w:r w:rsidRPr="00BD1A8E">
        <w:rPr>
          <w:rFonts w:ascii="Bookman Old Style" w:hAnsi="Bookman Old Style"/>
          <w:color w:val="000000"/>
        </w:rPr>
        <w:t xml:space="preserve"> </w:t>
      </w:r>
      <w:r w:rsidRPr="00BD1A8E">
        <w:rPr>
          <w:rFonts w:ascii="Bookman Old Style" w:hAnsi="Bookman Old Style"/>
          <w:color w:val="221E1F"/>
        </w:rPr>
        <w:t>have</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be</w:t>
      </w:r>
      <w:r w:rsidRPr="00BD1A8E">
        <w:rPr>
          <w:rFonts w:ascii="Bookman Old Style" w:hAnsi="Bookman Old Style"/>
          <w:color w:val="000000"/>
        </w:rPr>
        <w:t xml:space="preserve"> </w:t>
      </w:r>
      <w:r w:rsidRPr="00BD1A8E">
        <w:rPr>
          <w:rFonts w:ascii="Bookman Old Style" w:hAnsi="Bookman Old Style"/>
          <w:color w:val="221E1F"/>
        </w:rPr>
        <w:t>considered</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ensure</w:t>
      </w:r>
      <w:r w:rsidRPr="00BD1A8E">
        <w:rPr>
          <w:rFonts w:ascii="Bookman Old Style" w:hAnsi="Bookman Old Style"/>
          <w:color w:val="000000"/>
        </w:rPr>
        <w:t xml:space="preserve"> </w:t>
      </w:r>
      <w:r w:rsidRPr="00BD1A8E">
        <w:rPr>
          <w:rFonts w:ascii="Bookman Old Style" w:hAnsi="Bookman Old Style"/>
          <w:color w:val="221E1F"/>
        </w:rPr>
        <w:t>that</w:t>
      </w:r>
      <w:r w:rsidRPr="00BD1A8E">
        <w:rPr>
          <w:rFonts w:ascii="Bookman Old Style" w:hAnsi="Bookman Old Style"/>
          <w:color w:val="000000"/>
        </w:rPr>
        <w:t xml:space="preserve"> </w:t>
      </w:r>
      <w:r w:rsidRPr="00BD1A8E">
        <w:rPr>
          <w:rFonts w:ascii="Bookman Old Style" w:hAnsi="Bookman Old Style"/>
          <w:color w:val="221E1F"/>
        </w:rPr>
        <w:t>they</w:t>
      </w:r>
      <w:r w:rsidRPr="00BD1A8E">
        <w:rPr>
          <w:rFonts w:ascii="Bookman Old Style" w:hAnsi="Bookman Old Style"/>
          <w:color w:val="000000"/>
        </w:rPr>
        <w:t xml:space="preserve"> </w:t>
      </w:r>
      <w:r w:rsidRPr="00BD1A8E">
        <w:rPr>
          <w:rFonts w:ascii="Bookman Old Style" w:hAnsi="Bookman Old Style"/>
          <w:color w:val="221E1F"/>
        </w:rPr>
        <w:t>internalize</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objectives</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trade</w:t>
      </w:r>
      <w:r w:rsidRPr="00BD1A8E">
        <w:rPr>
          <w:rFonts w:ascii="Bookman Old Style" w:hAnsi="Bookman Old Style"/>
          <w:color w:val="000000"/>
        </w:rPr>
        <w:t xml:space="preserve"> </w:t>
      </w:r>
      <w:r w:rsidRPr="00BD1A8E">
        <w:rPr>
          <w:rFonts w:ascii="Bookman Old Style" w:hAnsi="Bookman Old Style"/>
          <w:color w:val="221E1F"/>
        </w:rPr>
        <w:t>facilitation</w:t>
      </w:r>
      <w:r w:rsidRPr="00BD1A8E">
        <w:rPr>
          <w:rFonts w:ascii="Bookman Old Style" w:hAnsi="Bookman Old Style"/>
          <w:color w:val="000000"/>
        </w:rPr>
        <w:t xml:space="preserve"> </w:t>
      </w:r>
      <w:r w:rsidRPr="00BD1A8E">
        <w:rPr>
          <w:rFonts w:ascii="Bookman Old Style" w:hAnsi="Bookman Old Style"/>
          <w:color w:val="221E1F"/>
        </w:rPr>
        <w:t>reform</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accept</w:t>
      </w:r>
      <w:r w:rsidRPr="00BD1A8E">
        <w:rPr>
          <w:rFonts w:ascii="Bookman Old Style" w:hAnsi="Bookman Old Style"/>
          <w:color w:val="000000"/>
        </w:rPr>
        <w:t xml:space="preserve"> </w:t>
      </w:r>
      <w:r w:rsidRPr="00BD1A8E">
        <w:rPr>
          <w:rFonts w:ascii="Bookman Old Style" w:hAnsi="Bookman Old Style"/>
          <w:color w:val="221E1F"/>
        </w:rPr>
        <w:t>their</w:t>
      </w:r>
      <w:r w:rsidRPr="00BD1A8E">
        <w:rPr>
          <w:rFonts w:ascii="Bookman Old Style" w:hAnsi="Bookman Old Style"/>
          <w:color w:val="000000"/>
        </w:rPr>
        <w:t xml:space="preserve"> </w:t>
      </w:r>
      <w:r w:rsidRPr="00BD1A8E">
        <w:rPr>
          <w:rFonts w:ascii="Bookman Old Style" w:hAnsi="Bookman Old Style"/>
          <w:color w:val="221E1F"/>
        </w:rPr>
        <w:t>(new)</w:t>
      </w:r>
      <w:r w:rsidRPr="00BD1A8E">
        <w:rPr>
          <w:rFonts w:ascii="Bookman Old Style" w:hAnsi="Bookman Old Style"/>
          <w:color w:val="000000"/>
        </w:rPr>
        <w:t xml:space="preserve"> </w:t>
      </w:r>
      <w:r w:rsidRPr="00BD1A8E">
        <w:rPr>
          <w:rFonts w:ascii="Bookman Old Style" w:hAnsi="Bookman Old Style"/>
          <w:color w:val="221E1F"/>
        </w:rPr>
        <w:t>role</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responsibilities</w:t>
      </w:r>
      <w:r w:rsidRPr="00BD1A8E">
        <w:rPr>
          <w:rFonts w:ascii="Bookman Old Style" w:hAnsi="Bookman Old Style"/>
          <w:color w:val="000000"/>
        </w:rPr>
        <w:t xml:space="preserve"> </w:t>
      </w:r>
      <w:r w:rsidRPr="00BD1A8E">
        <w:rPr>
          <w:rFonts w:ascii="Bookman Old Style" w:hAnsi="Bookman Old Style"/>
          <w:color w:val="221E1F"/>
        </w:rPr>
        <w:t>(World Bank,</w:t>
      </w:r>
      <w:r w:rsidRPr="00BD1A8E">
        <w:rPr>
          <w:rFonts w:ascii="Bookman Old Style" w:hAnsi="Bookman Old Style"/>
          <w:color w:val="000000"/>
        </w:rPr>
        <w:t xml:space="preserve"> </w:t>
      </w:r>
      <w:r w:rsidRPr="00BD1A8E">
        <w:rPr>
          <w:rFonts w:ascii="Bookman Old Style" w:hAnsi="Bookman Old Style"/>
          <w:color w:val="221E1F"/>
        </w:rPr>
        <w:t>2006b).</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some</w:t>
      </w:r>
      <w:r w:rsidRPr="00BD1A8E">
        <w:rPr>
          <w:rFonts w:ascii="Bookman Old Style" w:hAnsi="Bookman Old Style"/>
          <w:color w:val="000000"/>
        </w:rPr>
        <w:t xml:space="preserve"> </w:t>
      </w:r>
      <w:r w:rsidRPr="00BD1A8E">
        <w:rPr>
          <w:rFonts w:ascii="Bookman Old Style" w:hAnsi="Bookman Old Style"/>
          <w:color w:val="221E1F"/>
        </w:rPr>
        <w:t>cases,</w:t>
      </w:r>
      <w:r w:rsidRPr="00BD1A8E">
        <w:rPr>
          <w:rFonts w:ascii="Bookman Old Style" w:hAnsi="Bookman Old Style"/>
          <w:color w:val="000000"/>
        </w:rPr>
        <w:t xml:space="preserve"> </w:t>
      </w:r>
      <w:r w:rsidRPr="00BD1A8E">
        <w:rPr>
          <w:rFonts w:ascii="Bookman Old Style" w:hAnsi="Bookman Old Style"/>
          <w:color w:val="221E1F"/>
        </w:rPr>
        <w:t>organizational</w:t>
      </w:r>
      <w:r w:rsidRPr="00BD1A8E">
        <w:rPr>
          <w:rFonts w:ascii="Bookman Old Style" w:hAnsi="Bookman Old Style"/>
          <w:color w:val="000000"/>
        </w:rPr>
        <w:t xml:space="preserve"> </w:t>
      </w:r>
      <w:r w:rsidRPr="00BD1A8E">
        <w:rPr>
          <w:rFonts w:ascii="Bookman Old Style" w:hAnsi="Bookman Old Style"/>
          <w:color w:val="221E1F"/>
        </w:rPr>
        <w:t>changes</w:t>
      </w:r>
      <w:r w:rsidRPr="00BD1A8E">
        <w:rPr>
          <w:rFonts w:ascii="Bookman Old Style" w:hAnsi="Bookman Old Style"/>
          <w:color w:val="000000"/>
        </w:rPr>
        <w:t xml:space="preserve"> </w:t>
      </w:r>
      <w:r w:rsidRPr="00BD1A8E">
        <w:rPr>
          <w:rFonts w:ascii="Bookman Old Style" w:hAnsi="Bookman Old Style"/>
          <w:color w:val="221E1F"/>
        </w:rPr>
        <w:t>also</w:t>
      </w:r>
      <w:r w:rsidRPr="00BD1A8E">
        <w:rPr>
          <w:rFonts w:ascii="Bookman Old Style" w:hAnsi="Bookman Old Style"/>
          <w:color w:val="000000"/>
        </w:rPr>
        <w:t xml:space="preserve"> </w:t>
      </w:r>
      <w:r w:rsidRPr="00BD1A8E">
        <w:rPr>
          <w:rFonts w:ascii="Bookman Old Style" w:hAnsi="Bookman Old Style"/>
          <w:color w:val="221E1F"/>
        </w:rPr>
        <w:t>have</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be</w:t>
      </w:r>
      <w:r w:rsidRPr="00BD1A8E">
        <w:rPr>
          <w:rFonts w:ascii="Bookman Old Style" w:hAnsi="Bookman Old Style"/>
          <w:color w:val="000000"/>
        </w:rPr>
        <w:t xml:space="preserve"> </w:t>
      </w:r>
      <w:r w:rsidRPr="00BD1A8E">
        <w:rPr>
          <w:rFonts w:ascii="Bookman Old Style" w:hAnsi="Bookman Old Style"/>
          <w:color w:val="221E1F"/>
        </w:rPr>
        <w:t>pursued</w:t>
      </w:r>
      <w:r w:rsidRPr="00BD1A8E">
        <w:rPr>
          <w:rFonts w:ascii="Bookman Old Style" w:hAnsi="Bookman Old Style"/>
          <w:color w:val="000000"/>
        </w:rPr>
        <w:t xml:space="preserve"> </w:t>
      </w:r>
      <w:r w:rsidRPr="00BD1A8E">
        <w:rPr>
          <w:rFonts w:ascii="Bookman Old Style" w:hAnsi="Bookman Old Style"/>
          <w:color w:val="221E1F"/>
        </w:rPr>
        <w:t>by</w:t>
      </w:r>
      <w:r w:rsidRPr="00BD1A8E">
        <w:rPr>
          <w:rFonts w:ascii="Bookman Old Style" w:hAnsi="Bookman Old Style"/>
          <w:color w:val="000000"/>
        </w:rPr>
        <w:t xml:space="preserve"> </w:t>
      </w:r>
      <w:r w:rsidRPr="00BD1A8E">
        <w:rPr>
          <w:rFonts w:ascii="Bookman Old Style" w:hAnsi="Bookman Old Style"/>
          <w:color w:val="221E1F"/>
        </w:rPr>
        <w:t>reallocating</w:t>
      </w:r>
      <w:r w:rsidRPr="00BD1A8E">
        <w:rPr>
          <w:rFonts w:ascii="Bookman Old Style" w:hAnsi="Bookman Old Style"/>
          <w:color w:val="000000"/>
        </w:rPr>
        <w:t xml:space="preserve"> </w:t>
      </w:r>
      <w:r w:rsidRPr="00BD1A8E">
        <w:rPr>
          <w:rFonts w:ascii="Bookman Old Style" w:hAnsi="Bookman Old Style"/>
          <w:color w:val="221E1F"/>
        </w:rPr>
        <w:t>resources</w:t>
      </w:r>
      <w:r w:rsidRPr="00BD1A8E">
        <w:rPr>
          <w:rFonts w:ascii="Bookman Old Style" w:hAnsi="Bookman Old Style"/>
          <w:color w:val="000000"/>
        </w:rPr>
        <w:t xml:space="preserve"> </w:t>
      </w:r>
      <w:r w:rsidRPr="00BD1A8E">
        <w:rPr>
          <w:rFonts w:ascii="Bookman Old Style" w:hAnsi="Bookman Old Style"/>
          <w:color w:val="221E1F"/>
        </w:rPr>
        <w:t>previously</w:t>
      </w:r>
      <w:r w:rsidRPr="00BD1A8E">
        <w:rPr>
          <w:rFonts w:ascii="Bookman Old Style" w:hAnsi="Bookman Old Style"/>
          <w:color w:val="000000"/>
        </w:rPr>
        <w:t xml:space="preserve"> </w:t>
      </w:r>
      <w:r w:rsidRPr="00BD1A8E">
        <w:rPr>
          <w:rFonts w:ascii="Bookman Old Style" w:hAnsi="Bookman Old Style"/>
          <w:color w:val="221E1F"/>
        </w:rPr>
        <w:t>assigned</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other</w:t>
      </w:r>
      <w:r w:rsidRPr="00BD1A8E">
        <w:rPr>
          <w:rFonts w:ascii="Bookman Old Style" w:hAnsi="Bookman Old Style"/>
          <w:color w:val="000000"/>
        </w:rPr>
        <w:t xml:space="preserve"> </w:t>
      </w:r>
      <w:r w:rsidRPr="00BD1A8E">
        <w:rPr>
          <w:rFonts w:ascii="Bookman Old Style" w:hAnsi="Bookman Old Style"/>
          <w:color w:val="221E1F"/>
        </w:rPr>
        <w:t>tasks</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order</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provide</w:t>
      </w:r>
      <w:r w:rsidRPr="00BD1A8E">
        <w:rPr>
          <w:rFonts w:ascii="Bookman Old Style" w:hAnsi="Bookman Old Style"/>
          <w:color w:val="000000"/>
        </w:rPr>
        <w:t xml:space="preserve"> </w:t>
      </w:r>
      <w:r w:rsidRPr="00BD1A8E">
        <w:rPr>
          <w:rFonts w:ascii="Bookman Old Style" w:hAnsi="Bookman Old Style"/>
          <w:color w:val="221E1F"/>
        </w:rPr>
        <w:t>greater</w:t>
      </w:r>
      <w:r w:rsidRPr="00BD1A8E">
        <w:rPr>
          <w:rFonts w:ascii="Bookman Old Style" w:hAnsi="Bookman Old Style"/>
          <w:color w:val="000000"/>
        </w:rPr>
        <w:t xml:space="preserve"> </w:t>
      </w:r>
      <w:r w:rsidRPr="00BD1A8E">
        <w:rPr>
          <w:rFonts w:ascii="Bookman Old Style" w:hAnsi="Bookman Old Style"/>
          <w:color w:val="221E1F"/>
        </w:rPr>
        <w:t>flexibility,</w:t>
      </w:r>
      <w:r w:rsidRPr="00BD1A8E">
        <w:rPr>
          <w:rFonts w:ascii="Bookman Old Style" w:hAnsi="Bookman Old Style"/>
          <w:color w:val="000000"/>
        </w:rPr>
        <w:t xml:space="preserve"> </w:t>
      </w:r>
      <w:r w:rsidRPr="00BD1A8E">
        <w:rPr>
          <w:rFonts w:ascii="Bookman Old Style" w:hAnsi="Bookman Old Style"/>
          <w:color w:val="221E1F"/>
        </w:rPr>
        <w:t>effectiveness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efficiency</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operational</w:t>
      </w:r>
      <w:r w:rsidRPr="00BD1A8E">
        <w:rPr>
          <w:rFonts w:ascii="Bookman Old Style" w:hAnsi="Bookman Old Style"/>
          <w:color w:val="000000"/>
        </w:rPr>
        <w:t xml:space="preserve"> </w:t>
      </w:r>
      <w:r w:rsidRPr="00BD1A8E">
        <w:rPr>
          <w:rFonts w:ascii="Bookman Old Style" w:hAnsi="Bookman Old Style"/>
          <w:color w:val="221E1F"/>
        </w:rPr>
        <w:t>matters</w:t>
      </w:r>
      <w:r w:rsidRPr="00BD1A8E">
        <w:rPr>
          <w:rFonts w:ascii="Bookman Old Style" w:hAnsi="Bookman Old Style"/>
          <w:color w:val="000000"/>
        </w:rPr>
        <w:t xml:space="preserve"> </w:t>
      </w:r>
      <w:r w:rsidRPr="00BD1A8E">
        <w:rPr>
          <w:rFonts w:ascii="Bookman Old Style" w:hAnsi="Bookman Old Style"/>
          <w:color w:val="221E1F"/>
        </w:rPr>
        <w:t xml:space="preserve">(McLinden </w:t>
      </w:r>
      <w:r w:rsidRPr="00BD1A8E">
        <w:rPr>
          <w:rFonts w:ascii="Bookman Old Style" w:hAnsi="Bookman Old Style"/>
          <w:iCs/>
          <w:color w:val="221E1F"/>
        </w:rPr>
        <w:t>et al</w:t>
      </w:r>
      <w:r w:rsidRPr="00BD1A8E">
        <w:rPr>
          <w:rFonts w:ascii="Bookman Old Style" w:hAnsi="Bookman Old Style"/>
          <w:color w:val="221E1F"/>
        </w:rPr>
        <w:t>.,</w:t>
      </w:r>
      <w:r w:rsidRPr="00BD1A8E">
        <w:rPr>
          <w:rFonts w:ascii="Bookman Old Style" w:hAnsi="Bookman Old Style"/>
          <w:color w:val="000000"/>
        </w:rPr>
        <w:t xml:space="preserve"> </w:t>
      </w:r>
      <w:r w:rsidRPr="00BD1A8E">
        <w:rPr>
          <w:rFonts w:ascii="Bookman Old Style" w:hAnsi="Bookman Old Style"/>
          <w:color w:val="221E1F"/>
        </w:rPr>
        <w:t>2011).</w:t>
      </w:r>
    </w:p>
    <w:p w14:paraId="69064DE8" w14:textId="77777777" w:rsidR="00FB5722" w:rsidRPr="00BD1A8E" w:rsidRDefault="00FB5722" w:rsidP="00FB5722">
      <w:pPr>
        <w:rPr>
          <w:rFonts w:ascii="Bookman Old Style" w:hAnsi="Bookman Old Style"/>
        </w:rPr>
      </w:pPr>
    </w:p>
    <w:p w14:paraId="64170C9E" w14:textId="5C692755" w:rsidR="00D33433" w:rsidRDefault="00D33433" w:rsidP="00D33433">
      <w:pPr>
        <w:rPr>
          <w:rFonts w:ascii="Bookman Old Style" w:hAnsi="Bookman Old Style"/>
          <w:sz w:val="24"/>
          <w:szCs w:val="24"/>
        </w:rPr>
      </w:pPr>
      <w:r>
        <w:rPr>
          <w:rFonts w:ascii="Bookman Old Style" w:hAnsi="Bookman Old Style"/>
          <w:sz w:val="24"/>
          <w:szCs w:val="24"/>
        </w:rPr>
        <w:t>Figure 1</w:t>
      </w:r>
      <w:r w:rsidR="00F56C68">
        <w:rPr>
          <w:rFonts w:ascii="Bookman Old Style" w:hAnsi="Bookman Old Style"/>
          <w:sz w:val="24"/>
          <w:szCs w:val="24"/>
        </w:rPr>
        <w:t>4</w:t>
      </w:r>
      <w:r w:rsidR="00FB5722" w:rsidRPr="00BD1A8E">
        <w:rPr>
          <w:rFonts w:ascii="Bookman Old Style" w:hAnsi="Bookman Old Style"/>
          <w:sz w:val="24"/>
          <w:szCs w:val="24"/>
        </w:rPr>
        <w:t>: Main Success Factors Reported in Cas</w:t>
      </w:r>
      <w:r>
        <w:rPr>
          <w:rFonts w:ascii="Bookman Old Style" w:hAnsi="Bookman Old Style"/>
          <w:sz w:val="24"/>
          <w:szCs w:val="24"/>
        </w:rPr>
        <w:t>e Studies on Trade Facilitation</w:t>
      </w:r>
    </w:p>
    <w:p w14:paraId="1DDF4374" w14:textId="73717EB6" w:rsidR="00FB5722" w:rsidRPr="00D33433" w:rsidRDefault="00D33433" w:rsidP="00D33433">
      <w:pPr>
        <w:jc w:val="center"/>
        <w:rPr>
          <w:rFonts w:ascii="Bookman Old Style" w:hAnsi="Bookman Old Style"/>
          <w:sz w:val="24"/>
          <w:szCs w:val="24"/>
        </w:rPr>
      </w:pPr>
      <w:r w:rsidRPr="00BD1A8E">
        <w:rPr>
          <w:rFonts w:ascii="Bookman Old Style" w:hAnsi="Bookman Old Style"/>
          <w:noProof/>
          <w:lang w:eastAsia="en-GB"/>
        </w:rPr>
        <w:drawing>
          <wp:inline distT="0" distB="0" distL="0" distR="0" wp14:anchorId="240CFD85" wp14:editId="56242321">
            <wp:extent cx="5641096" cy="3482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5423" cy="3485011"/>
                    </a:xfrm>
                    <a:prstGeom prst="rect">
                      <a:avLst/>
                    </a:prstGeom>
                    <a:noFill/>
                    <a:ln>
                      <a:noFill/>
                    </a:ln>
                  </pic:spPr>
                </pic:pic>
              </a:graphicData>
            </a:graphic>
          </wp:inline>
        </w:drawing>
      </w:r>
      <w:r w:rsidR="00FB5722" w:rsidRPr="00BD1A8E">
        <w:rPr>
          <w:rFonts w:ascii="Bookman Old Style" w:hAnsi="Bookman Old Style"/>
        </w:rPr>
        <w:t xml:space="preserve">: </w:t>
      </w:r>
    </w:p>
    <w:p w14:paraId="192B6AF8" w14:textId="77777777" w:rsidR="00FB5722" w:rsidRPr="00BD1A8E" w:rsidRDefault="00FB5722" w:rsidP="00FB5722">
      <w:pPr>
        <w:ind w:left="720"/>
        <w:jc w:val="both"/>
        <w:rPr>
          <w:rFonts w:ascii="Bookman Old Style" w:hAnsi="Bookman Old Style"/>
          <w:color w:val="221E1F"/>
          <w:sz w:val="24"/>
          <w:szCs w:val="24"/>
        </w:rPr>
      </w:pP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importance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of</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information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communication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technology</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infrastructure,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including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equipment,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to</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materialize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trade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facilitation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reforms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has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also</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been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highlighted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48</w:t>
      </w:r>
      <w:r w:rsidRPr="00BD1A8E">
        <w:rPr>
          <w:rFonts w:ascii="Bookman Old Style" w:hAnsi="Bookman Old Style"/>
          <w:color w:val="000000"/>
          <w:sz w:val="24"/>
          <w:szCs w:val="24"/>
        </w:rPr>
        <w:t> </w:t>
      </w:r>
      <w:r w:rsidRPr="00BD1A8E">
        <w:rPr>
          <w:rFonts w:ascii="Bookman Old Style" w:hAnsi="Bookman Old Style"/>
          <w:color w:val="221E1F"/>
          <w:sz w:val="24"/>
          <w:szCs w:val="24"/>
        </w:rPr>
        <w:t>case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stories.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particular,</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lastRenderedPageBreak/>
        <w:t>use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of</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ICT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can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contribute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significantly</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to</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streamlining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simplifying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customs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procedures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documents,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reported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many</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case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stories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single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window</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paperless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trade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initiatives.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follows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that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deficiencies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ICT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can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prevent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full</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implementation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of</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certain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trade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facilitation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measures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that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tend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to</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rely</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ICT,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such</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single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windows.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few</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case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stories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further</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underscore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importance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of</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designing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trade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facilitation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reforms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attuned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to</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country’s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actual</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capacities.</w:t>
      </w:r>
    </w:p>
    <w:p w14:paraId="31B37DEB" w14:textId="77777777" w:rsidR="00FB5722" w:rsidRPr="00BD1A8E" w:rsidRDefault="00FB5722" w:rsidP="00FB5722">
      <w:pPr>
        <w:pStyle w:val="ListParagraph"/>
        <w:numPr>
          <w:ilvl w:val="0"/>
          <w:numId w:val="73"/>
        </w:numPr>
        <w:spacing w:after="200" w:line="276" w:lineRule="auto"/>
        <w:jc w:val="both"/>
        <w:rPr>
          <w:rFonts w:ascii="Bookman Old Style" w:hAnsi="Bookman Old Style"/>
          <w:color w:val="221E1F"/>
          <w:sz w:val="24"/>
          <w:szCs w:val="24"/>
        </w:rPr>
      </w:pPr>
      <w:r w:rsidRPr="00BD1A8E">
        <w:rPr>
          <w:rFonts w:ascii="Bookman Old Style" w:hAnsi="Bookman Old Style"/>
          <w:sz w:val="24"/>
          <w:szCs w:val="24"/>
        </w:rPr>
        <w:t xml:space="preserve">Stakeholders’ involvement in Trade Policy Process is another factor worthy of consideration. This factor was </w:t>
      </w:r>
      <w:r w:rsidRPr="00BD1A8E">
        <w:rPr>
          <w:rFonts w:ascii="Bookman Old Style" w:hAnsi="Bookman Old Style"/>
          <w:color w:val="221E1F"/>
          <w:sz w:val="24"/>
          <w:szCs w:val="24"/>
        </w:rPr>
        <w:t>mentioned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58</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case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stories. It is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participation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commitment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of</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relevant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stakeholders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each</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phase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of</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trade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facilitation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initiative.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mentioned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previously,</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trade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facilitation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by</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nature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cross-cutting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issue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affecting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interest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of</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various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stakeholders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public</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private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sectors.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portrayed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Figure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3.2,</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policy-making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entities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(e.g.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ministries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of</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trade,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foreign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affairs,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finance,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transport),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cross-border</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agencies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(e.g.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sanitary</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phytosanitary,</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health</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environmental</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departments),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implementing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agencies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(e.g.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customs,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port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airport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authorities),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private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sector</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(e.g.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suppliers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including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foreign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investors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customers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intermediaries)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external</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donors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are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among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potential</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stakeholders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involved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trade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facilitation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not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only</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national</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level,</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but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some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cases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also</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regional</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international</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level.</w:t>
      </w:r>
    </w:p>
    <w:p w14:paraId="4DF26155" w14:textId="2D84BB7B" w:rsidR="00FB5722" w:rsidRPr="00BD1A8E" w:rsidRDefault="00D33433" w:rsidP="00FB5722">
      <w:pPr>
        <w:jc w:val="both"/>
        <w:rPr>
          <w:rFonts w:ascii="Bookman Old Style" w:hAnsi="Bookman Old Style"/>
          <w:sz w:val="24"/>
          <w:szCs w:val="24"/>
        </w:rPr>
      </w:pPr>
      <w:r>
        <w:rPr>
          <w:rFonts w:ascii="Bookman Old Style" w:hAnsi="Bookman Old Style"/>
          <w:color w:val="221E1F"/>
          <w:sz w:val="24"/>
          <w:szCs w:val="24"/>
        </w:rPr>
        <w:t>Figure 1</w:t>
      </w:r>
      <w:r w:rsidR="00F56C68">
        <w:rPr>
          <w:rFonts w:ascii="Bookman Old Style" w:hAnsi="Bookman Old Style"/>
          <w:color w:val="221E1F"/>
          <w:sz w:val="24"/>
          <w:szCs w:val="24"/>
        </w:rPr>
        <w:t>5</w:t>
      </w:r>
      <w:r w:rsidR="00FB5722" w:rsidRPr="00BD1A8E">
        <w:rPr>
          <w:rFonts w:ascii="Bookman Old Style" w:hAnsi="Bookman Old Style"/>
          <w:color w:val="221E1F"/>
          <w:sz w:val="24"/>
          <w:szCs w:val="24"/>
        </w:rPr>
        <w:t>: Relevant Stakeholders in TFA implementation</w:t>
      </w:r>
    </w:p>
    <w:p w14:paraId="668CE639" w14:textId="77777777" w:rsidR="00FB5722" w:rsidRPr="00BD1A8E" w:rsidRDefault="00FB5722" w:rsidP="00FB5722">
      <w:pPr>
        <w:pStyle w:val="NormalWeb"/>
        <w:jc w:val="center"/>
        <w:rPr>
          <w:rFonts w:ascii="Bookman Old Style" w:hAnsi="Bookman Old Style"/>
        </w:rPr>
      </w:pPr>
      <w:r w:rsidRPr="00BD1A8E">
        <w:rPr>
          <w:rFonts w:ascii="Bookman Old Style" w:hAnsi="Bookman Old Style"/>
          <w:noProof/>
          <w:lang w:val="en-GB" w:eastAsia="en-GB"/>
        </w:rPr>
        <w:drawing>
          <wp:inline distT="0" distB="0" distL="0" distR="0" wp14:anchorId="1914A95C" wp14:editId="48B1DDDA">
            <wp:extent cx="4010025" cy="2657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0025" cy="2657475"/>
                    </a:xfrm>
                    <a:prstGeom prst="rect">
                      <a:avLst/>
                    </a:prstGeom>
                    <a:noFill/>
                    <a:ln>
                      <a:noFill/>
                    </a:ln>
                  </pic:spPr>
                </pic:pic>
              </a:graphicData>
            </a:graphic>
          </wp:inline>
        </w:drawing>
      </w:r>
    </w:p>
    <w:p w14:paraId="46690B92" w14:textId="77777777" w:rsidR="00FB5722" w:rsidRPr="00BD1A8E" w:rsidRDefault="00FB5722" w:rsidP="00FB5722">
      <w:pPr>
        <w:pStyle w:val="NormalWeb"/>
        <w:jc w:val="center"/>
        <w:rPr>
          <w:rFonts w:ascii="Bookman Old Style" w:hAnsi="Bookman Old Style"/>
        </w:rPr>
      </w:pPr>
      <w:r w:rsidRPr="00BD1A8E">
        <w:rPr>
          <w:rFonts w:ascii="Bookman Old Style" w:hAnsi="Bookman Old Style"/>
        </w:rPr>
        <w:t>Source: WTO Secretariat</w:t>
      </w:r>
    </w:p>
    <w:p w14:paraId="46EDCB56" w14:textId="77777777" w:rsidR="00FB5722" w:rsidRPr="00BD1A8E" w:rsidRDefault="00FB5722" w:rsidP="00FB5722">
      <w:pPr>
        <w:ind w:left="720"/>
        <w:jc w:val="both"/>
        <w:rPr>
          <w:rFonts w:ascii="Bookman Old Style" w:hAnsi="Bookman Old Style"/>
          <w:color w:val="221E1F"/>
          <w:sz w:val="24"/>
          <w:szCs w:val="24"/>
        </w:rPr>
      </w:pP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second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most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reported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success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factor,</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mentioned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96</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case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stories,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active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involvement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adherence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of</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local</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private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sector</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stakeholders,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including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chambers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of</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commerce,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business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lastRenderedPageBreak/>
        <w:t>associations,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civil</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society</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engaged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trade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transport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activities.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some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of</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first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main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beneficiaries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of</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trade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facilitation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reform,</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providing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traders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businesses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with</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opportunity</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to</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share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views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make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suggestions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during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needs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assessment,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design,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implementation,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evaluation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of</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trade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facilitation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reform</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critical</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to</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ensure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that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initiative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leads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to</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concrete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practical</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benefits.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Yet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there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rarely</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single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private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sector</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voice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that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naturally</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emerges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from</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different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industries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sectors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involved.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Conflicting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opposing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industry</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interests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can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therefore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hamper</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implementation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of</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trade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facilitation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initiatives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(Grainger, 2008).</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few</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case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stories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underscore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how</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important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that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government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remain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neutral</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and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not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favour</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certain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firms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or</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industries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in</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order</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not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to</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jeopardize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broad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support</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needed</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from</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the</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business</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community.</w:t>
      </w:r>
    </w:p>
    <w:p w14:paraId="2B9E8047" w14:textId="77777777" w:rsidR="00FB5722" w:rsidRPr="00BD1A8E" w:rsidRDefault="00FB5722" w:rsidP="00FB5722">
      <w:pPr>
        <w:pStyle w:val="NormalWeb"/>
        <w:ind w:left="720"/>
        <w:jc w:val="both"/>
        <w:rPr>
          <w:rFonts w:ascii="Bookman Old Style" w:hAnsi="Bookman Old Style"/>
        </w:rPr>
      </w:pPr>
      <w:r w:rsidRPr="00BD1A8E">
        <w:rPr>
          <w:rFonts w:ascii="Bookman Old Style" w:hAnsi="Bookman Old Style"/>
        </w:rPr>
        <w:t xml:space="preserve">In the context of regional trade agreements, the quality of participation and acceptance is often a function of the relative size of stakeholders consulted. In other words, there is some inequality in participation that is a function of the size of the respective stakeholder and the decision making process at the regional level. The emergence of full customs union and prospect of common market may depend on implied political influence, of formal and informal relationships they maintain with the appropriate stakeholders and of the degree of transparency in the consultation process. </w:t>
      </w:r>
    </w:p>
    <w:p w14:paraId="7AABFC0E" w14:textId="77777777" w:rsidR="00FB5722" w:rsidRPr="00BD1A8E" w:rsidRDefault="00FB5722" w:rsidP="00FB5722">
      <w:pPr>
        <w:pStyle w:val="ListParagraph"/>
        <w:widowControl w:val="0"/>
        <w:numPr>
          <w:ilvl w:val="0"/>
          <w:numId w:val="73"/>
        </w:numPr>
        <w:autoSpaceDE w:val="0"/>
        <w:autoSpaceDN w:val="0"/>
        <w:adjustRightInd w:val="0"/>
        <w:spacing w:after="0" w:line="181" w:lineRule="atLeast"/>
        <w:jc w:val="both"/>
        <w:rPr>
          <w:rFonts w:ascii="Bookman Old Style" w:eastAsia="Times New Roman" w:hAnsi="Bookman Old Style"/>
          <w:color w:val="221E1F"/>
          <w:sz w:val="24"/>
          <w:szCs w:val="24"/>
        </w:rPr>
      </w:pPr>
      <w:r w:rsidRPr="00BD1A8E">
        <w:rPr>
          <w:rFonts w:ascii="Bookman Old Style" w:hAnsi="Bookman Old Style"/>
          <w:color w:val="221E1F"/>
          <w:sz w:val="24"/>
          <w:szCs w:val="24"/>
        </w:rPr>
        <w:t>Sequencing</w:t>
      </w:r>
      <w:r w:rsidRPr="00BD1A8E">
        <w:rPr>
          <w:rFonts w:ascii="Bookman Old Style" w:hAnsi="Bookman Old Style"/>
          <w:color w:val="000000"/>
          <w:sz w:val="24"/>
          <w:szCs w:val="24"/>
        </w:rPr>
        <w:t xml:space="preserve"> </w:t>
      </w:r>
      <w:r w:rsidRPr="00BD1A8E">
        <w:rPr>
          <w:rFonts w:ascii="Bookman Old Style" w:hAnsi="Bookman Old Style"/>
          <w:color w:val="221E1F"/>
          <w:sz w:val="24"/>
          <w:szCs w:val="24"/>
        </w:rPr>
        <w:t>approach</w:t>
      </w:r>
      <w:r w:rsidRPr="00BD1A8E">
        <w:rPr>
          <w:rFonts w:ascii="Bookman Old Style" w:eastAsia="Times New Roman" w:hAnsi="Bookman Old Style"/>
          <w:color w:val="221E1F"/>
          <w:sz w:val="24"/>
          <w:szCs w:val="24"/>
        </w:rPr>
        <w:t xml:space="preserve"> is another</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critical</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factor</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in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implementing</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successful</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trade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facilitation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initiative. This was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reported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in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65</w:t>
      </w:r>
      <w:r w:rsidRPr="00BD1A8E">
        <w:rPr>
          <w:rFonts w:ascii="Bookman Old Style" w:eastAsia="Times New Roman" w:hAnsi="Bookman Old Style"/>
          <w:color w:val="000000"/>
          <w:sz w:val="24"/>
          <w:szCs w:val="24"/>
        </w:rPr>
        <w:t> </w:t>
      </w:r>
      <w:r w:rsidRPr="00BD1A8E">
        <w:rPr>
          <w:rFonts w:ascii="Bookman Old Style" w:eastAsia="Times New Roman" w:hAnsi="Bookman Old Style"/>
          <w:color w:val="221E1F"/>
          <w:sz w:val="24"/>
          <w:szCs w:val="24"/>
        </w:rPr>
        <w:t>case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stories and it provides the justification for the need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to</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establish</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and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follow</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proper</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sequencing.</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Sufficient</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time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is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often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needed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between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the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elaboration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of</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the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trade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facilitation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measures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and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their</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actual</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implementation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in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order</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to</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prepare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the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ground,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bring</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all</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stakeholders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on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board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and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build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internal</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capacity</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through</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outreach</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and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training</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activities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and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potential</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additional</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investment</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(e.g.</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infrastructure,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IT</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upgrades,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etc.).</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More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generally,</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trade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facilitation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reform</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is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often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viewed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long-term</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and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gradual</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process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that</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should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not</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be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too</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slow,</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so</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not</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to</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erode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the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initiative’s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momentum,</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and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not</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too</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fast,</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so</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not</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to</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exacerbate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resistance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and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undermine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the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reform’s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sustainability.</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In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this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context,</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flexible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implementation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plan,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mentioned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in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41</w:t>
      </w:r>
      <w:r w:rsidRPr="00BD1A8E">
        <w:rPr>
          <w:rFonts w:ascii="Bookman Old Style" w:eastAsia="Times New Roman" w:hAnsi="Bookman Old Style"/>
          <w:color w:val="000000"/>
          <w:sz w:val="24"/>
          <w:szCs w:val="24"/>
        </w:rPr>
        <w:t> </w:t>
      </w:r>
      <w:r w:rsidRPr="00BD1A8E">
        <w:rPr>
          <w:rFonts w:ascii="Bookman Old Style" w:eastAsia="Times New Roman" w:hAnsi="Bookman Old Style"/>
          <w:color w:val="221E1F"/>
          <w:sz w:val="24"/>
          <w:szCs w:val="24"/>
        </w:rPr>
        <w:t>case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stories,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can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be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crucial</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for</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adapting</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and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responding</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to</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external</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factors,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such</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the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global</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recession,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that</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can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lead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to</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delays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and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change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priorities.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User-friendliness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has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also</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been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identified</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in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number</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of</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case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stories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as</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an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important</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element</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of</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successful</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trade</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facilitation</w:t>
      </w:r>
      <w:r w:rsidRPr="00BD1A8E">
        <w:rPr>
          <w:rFonts w:ascii="Bookman Old Style" w:eastAsia="Times New Roman" w:hAnsi="Bookman Old Style"/>
          <w:color w:val="000000"/>
          <w:sz w:val="24"/>
          <w:szCs w:val="24"/>
        </w:rPr>
        <w:t xml:space="preserve"> </w:t>
      </w:r>
      <w:r w:rsidRPr="00BD1A8E">
        <w:rPr>
          <w:rFonts w:ascii="Bookman Old Style" w:eastAsia="Times New Roman" w:hAnsi="Bookman Old Style"/>
          <w:color w:val="221E1F"/>
          <w:sz w:val="24"/>
          <w:szCs w:val="24"/>
        </w:rPr>
        <w:t>reforms</w:t>
      </w:r>
    </w:p>
    <w:p w14:paraId="32F1A43E" w14:textId="77777777" w:rsidR="00FB5722" w:rsidRPr="00BD1A8E" w:rsidRDefault="00FB5722" w:rsidP="00FB5722">
      <w:pPr>
        <w:pStyle w:val="Pa11"/>
        <w:jc w:val="both"/>
        <w:rPr>
          <w:rFonts w:ascii="Bookman Old Style" w:hAnsi="Bookman Old Style"/>
          <w:color w:val="221E1F"/>
        </w:rPr>
      </w:pPr>
    </w:p>
    <w:p w14:paraId="7B369B70" w14:textId="77777777" w:rsidR="00FB5722" w:rsidRPr="00BD1A8E" w:rsidRDefault="00FB5722" w:rsidP="00FB5722">
      <w:pPr>
        <w:pStyle w:val="Pa11"/>
        <w:ind w:left="720"/>
        <w:jc w:val="both"/>
        <w:rPr>
          <w:rFonts w:ascii="Bookman Old Style" w:hAnsi="Bookman Old Style"/>
          <w:color w:val="221E1F"/>
        </w:rPr>
      </w:pPr>
      <w:r w:rsidRPr="00BD1A8E">
        <w:rPr>
          <w:rFonts w:ascii="Bookman Old Style" w:hAnsi="Bookman Old Style"/>
          <w:color w:val="221E1F"/>
        </w:rPr>
        <w:t>As</w:t>
      </w:r>
      <w:r w:rsidRPr="00BD1A8E">
        <w:rPr>
          <w:rFonts w:ascii="Bookman Old Style" w:hAnsi="Bookman Old Style"/>
          <w:color w:val="000000"/>
        </w:rPr>
        <w:t xml:space="preserve"> </w:t>
      </w:r>
      <w:r w:rsidRPr="00BD1A8E">
        <w:rPr>
          <w:rFonts w:ascii="Bookman Old Style" w:hAnsi="Bookman Old Style"/>
          <w:color w:val="221E1F"/>
        </w:rPr>
        <w:t>highlighted</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46</w:t>
      </w:r>
      <w:r w:rsidRPr="00BD1A8E">
        <w:rPr>
          <w:rFonts w:ascii="Bookman Old Style" w:hAnsi="Bookman Old Style"/>
          <w:color w:val="000000"/>
        </w:rPr>
        <w:t xml:space="preserve"> </w:t>
      </w:r>
      <w:r w:rsidRPr="00BD1A8E">
        <w:rPr>
          <w:rFonts w:ascii="Bookman Old Style" w:hAnsi="Bookman Old Style"/>
          <w:color w:val="221E1F"/>
        </w:rPr>
        <w:t>case</w:t>
      </w:r>
      <w:r w:rsidRPr="00BD1A8E">
        <w:rPr>
          <w:rFonts w:ascii="Bookman Old Style" w:hAnsi="Bookman Old Style"/>
          <w:color w:val="000000"/>
        </w:rPr>
        <w:t xml:space="preserve"> </w:t>
      </w:r>
      <w:r w:rsidRPr="00BD1A8E">
        <w:rPr>
          <w:rFonts w:ascii="Bookman Old Style" w:hAnsi="Bookman Old Style"/>
          <w:color w:val="221E1F"/>
        </w:rPr>
        <w:t>stories,</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starting</w:t>
      </w:r>
      <w:r w:rsidRPr="00BD1A8E">
        <w:rPr>
          <w:rFonts w:ascii="Bookman Old Style" w:hAnsi="Bookman Old Style"/>
          <w:color w:val="000000"/>
        </w:rPr>
        <w:t xml:space="preserve"> </w:t>
      </w:r>
      <w:r w:rsidRPr="00BD1A8E">
        <w:rPr>
          <w:rFonts w:ascii="Bookman Old Style" w:hAnsi="Bookman Old Style"/>
          <w:color w:val="221E1F"/>
        </w:rPr>
        <w:t>point</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sequencing</w:t>
      </w:r>
      <w:r w:rsidRPr="00BD1A8E">
        <w:rPr>
          <w:rFonts w:ascii="Bookman Old Style" w:hAnsi="Bookman Old Style"/>
          <w:color w:val="000000"/>
        </w:rPr>
        <w:t xml:space="preserve"> </w:t>
      </w:r>
      <w:r w:rsidRPr="00BD1A8E">
        <w:rPr>
          <w:rFonts w:ascii="Bookman Old Style" w:hAnsi="Bookman Old Style"/>
          <w:color w:val="221E1F"/>
        </w:rPr>
        <w:t>often</w:t>
      </w:r>
      <w:r w:rsidRPr="00BD1A8E">
        <w:rPr>
          <w:rFonts w:ascii="Bookman Old Style" w:hAnsi="Bookman Old Style"/>
          <w:color w:val="000000"/>
        </w:rPr>
        <w:t xml:space="preserve"> </w:t>
      </w:r>
      <w:r w:rsidRPr="00BD1A8E">
        <w:rPr>
          <w:rFonts w:ascii="Bookman Old Style" w:hAnsi="Bookman Old Style"/>
          <w:color w:val="221E1F"/>
        </w:rPr>
        <w:t>takes</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form</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an</w:t>
      </w:r>
      <w:r w:rsidRPr="00BD1A8E">
        <w:rPr>
          <w:rFonts w:ascii="Bookman Old Style" w:hAnsi="Bookman Old Style"/>
          <w:color w:val="000000"/>
        </w:rPr>
        <w:t xml:space="preserve"> </w:t>
      </w:r>
      <w:r w:rsidRPr="00BD1A8E">
        <w:rPr>
          <w:rFonts w:ascii="Bookman Old Style" w:hAnsi="Bookman Old Style"/>
          <w:color w:val="221E1F"/>
        </w:rPr>
        <w:t>accurate</w:t>
      </w:r>
      <w:r w:rsidRPr="00BD1A8E">
        <w:rPr>
          <w:rFonts w:ascii="Bookman Old Style" w:hAnsi="Bookman Old Style"/>
          <w:color w:val="000000"/>
        </w:rPr>
        <w:t xml:space="preserve"> </w:t>
      </w:r>
      <w:r w:rsidRPr="00BD1A8E">
        <w:rPr>
          <w:rFonts w:ascii="Bookman Old Style" w:hAnsi="Bookman Old Style"/>
          <w:color w:val="221E1F"/>
        </w:rPr>
        <w:t>and comprehensive</w:t>
      </w:r>
      <w:r w:rsidRPr="00BD1A8E">
        <w:rPr>
          <w:rFonts w:ascii="Bookman Old Style" w:hAnsi="Bookman Old Style"/>
          <w:color w:val="000000"/>
        </w:rPr>
        <w:t xml:space="preserve"> </w:t>
      </w:r>
      <w:r w:rsidRPr="00BD1A8E">
        <w:rPr>
          <w:rFonts w:ascii="Bookman Old Style" w:hAnsi="Bookman Old Style"/>
          <w:color w:val="221E1F"/>
        </w:rPr>
        <w:t>assessment</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trade</w:t>
      </w:r>
      <w:r w:rsidRPr="00BD1A8E">
        <w:rPr>
          <w:rFonts w:ascii="Bookman Old Style" w:hAnsi="Bookman Old Style"/>
          <w:color w:val="000000"/>
        </w:rPr>
        <w:t xml:space="preserve"> </w:t>
      </w:r>
      <w:r w:rsidRPr="00BD1A8E">
        <w:rPr>
          <w:rFonts w:ascii="Bookman Old Style" w:hAnsi="Bookman Old Style"/>
          <w:color w:val="221E1F"/>
        </w:rPr>
        <w:t>facilitation</w:t>
      </w:r>
      <w:r w:rsidRPr="00BD1A8E">
        <w:rPr>
          <w:rFonts w:ascii="Bookman Old Style" w:hAnsi="Bookman Old Style"/>
          <w:color w:val="000000"/>
        </w:rPr>
        <w:t xml:space="preserve"> </w:t>
      </w:r>
      <w:r w:rsidRPr="00BD1A8E">
        <w:rPr>
          <w:rFonts w:ascii="Bookman Old Style" w:hAnsi="Bookman Old Style"/>
          <w:color w:val="221E1F"/>
        </w:rPr>
        <w:t>needs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priorities</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current</w:t>
      </w:r>
      <w:r w:rsidRPr="00BD1A8E">
        <w:rPr>
          <w:rFonts w:ascii="Bookman Old Style" w:hAnsi="Bookman Old Style"/>
          <w:color w:val="000000"/>
        </w:rPr>
        <w:t xml:space="preserve"> </w:t>
      </w:r>
      <w:r w:rsidRPr="00BD1A8E">
        <w:rPr>
          <w:rFonts w:ascii="Bookman Old Style" w:hAnsi="Bookman Old Style"/>
          <w:color w:val="221E1F"/>
        </w:rPr>
        <w:t>situation,</w:t>
      </w:r>
      <w:r w:rsidRPr="00BD1A8E">
        <w:rPr>
          <w:rFonts w:ascii="Bookman Old Style" w:hAnsi="Bookman Old Style"/>
          <w:color w:val="000000"/>
        </w:rPr>
        <w:t xml:space="preserve"> </w:t>
      </w:r>
      <w:r w:rsidRPr="00BD1A8E">
        <w:rPr>
          <w:rFonts w:ascii="Bookman Old Style" w:hAnsi="Bookman Old Style"/>
          <w:color w:val="221E1F"/>
        </w:rPr>
        <w:lastRenderedPageBreak/>
        <w:t>taking</w:t>
      </w:r>
      <w:r w:rsidRPr="00BD1A8E">
        <w:rPr>
          <w:rFonts w:ascii="Bookman Old Style" w:hAnsi="Bookman Old Style"/>
          <w:color w:val="000000"/>
        </w:rPr>
        <w:t xml:space="preserve"> </w:t>
      </w:r>
      <w:r w:rsidRPr="00BD1A8E">
        <w:rPr>
          <w:rFonts w:ascii="Bookman Old Style" w:hAnsi="Bookman Old Style"/>
          <w:color w:val="221E1F"/>
        </w:rPr>
        <w:t>into</w:t>
      </w:r>
      <w:r w:rsidRPr="00BD1A8E">
        <w:rPr>
          <w:rFonts w:ascii="Bookman Old Style" w:hAnsi="Bookman Old Style"/>
          <w:color w:val="000000"/>
        </w:rPr>
        <w:t xml:space="preserve"> </w:t>
      </w:r>
      <w:r w:rsidRPr="00BD1A8E">
        <w:rPr>
          <w:rFonts w:ascii="Bookman Old Style" w:hAnsi="Bookman Old Style"/>
          <w:color w:val="221E1F"/>
        </w:rPr>
        <w:t>account,</w:t>
      </w:r>
      <w:r w:rsidRPr="00BD1A8E">
        <w:rPr>
          <w:rFonts w:ascii="Bookman Old Style" w:hAnsi="Bookman Old Style"/>
          <w:color w:val="000000"/>
        </w:rPr>
        <w:t xml:space="preserve"> </w:t>
      </w:r>
      <w:r w:rsidRPr="00BD1A8E">
        <w:rPr>
          <w:rFonts w:ascii="Bookman Old Style" w:hAnsi="Bookman Old Style"/>
          <w:color w:val="221E1F"/>
        </w:rPr>
        <w:t>among</w:t>
      </w:r>
      <w:r w:rsidRPr="00BD1A8E">
        <w:rPr>
          <w:rFonts w:ascii="Bookman Old Style" w:hAnsi="Bookman Old Style"/>
          <w:color w:val="000000"/>
        </w:rPr>
        <w:t xml:space="preserve"> </w:t>
      </w:r>
      <w:r w:rsidRPr="00BD1A8E">
        <w:rPr>
          <w:rFonts w:ascii="Bookman Old Style" w:hAnsi="Bookman Old Style"/>
          <w:color w:val="221E1F"/>
        </w:rPr>
        <w:t>other</w:t>
      </w:r>
      <w:r w:rsidRPr="00BD1A8E">
        <w:rPr>
          <w:rFonts w:ascii="Bookman Old Style" w:hAnsi="Bookman Old Style"/>
          <w:color w:val="000000"/>
        </w:rPr>
        <w:t xml:space="preserve"> </w:t>
      </w:r>
      <w:r w:rsidRPr="00BD1A8E">
        <w:rPr>
          <w:rFonts w:ascii="Bookman Old Style" w:hAnsi="Bookman Old Style"/>
          <w:color w:val="221E1F"/>
        </w:rPr>
        <w:t>things,</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country’s</w:t>
      </w:r>
      <w:r w:rsidRPr="00BD1A8E">
        <w:rPr>
          <w:rFonts w:ascii="Bookman Old Style" w:hAnsi="Bookman Old Style"/>
          <w:color w:val="000000"/>
        </w:rPr>
        <w:t xml:space="preserve"> </w:t>
      </w:r>
      <w:r w:rsidRPr="00BD1A8E">
        <w:rPr>
          <w:rFonts w:ascii="Bookman Old Style" w:hAnsi="Bookman Old Style"/>
          <w:color w:val="221E1F"/>
        </w:rPr>
        <w:t>specific</w:t>
      </w:r>
      <w:r w:rsidRPr="00BD1A8E">
        <w:rPr>
          <w:rFonts w:ascii="Bookman Old Style" w:hAnsi="Bookman Old Style"/>
          <w:color w:val="000000"/>
        </w:rPr>
        <w:t xml:space="preserve"> </w:t>
      </w:r>
      <w:r w:rsidRPr="00BD1A8E">
        <w:rPr>
          <w:rFonts w:ascii="Bookman Old Style" w:hAnsi="Bookman Old Style"/>
          <w:color w:val="221E1F"/>
        </w:rPr>
        <w:t>operating</w:t>
      </w:r>
      <w:r w:rsidRPr="00BD1A8E">
        <w:rPr>
          <w:rFonts w:ascii="Bookman Old Style" w:hAnsi="Bookman Old Style"/>
          <w:color w:val="000000"/>
        </w:rPr>
        <w:t xml:space="preserve"> </w:t>
      </w:r>
      <w:r w:rsidRPr="00BD1A8E">
        <w:rPr>
          <w:rFonts w:ascii="Bookman Old Style" w:hAnsi="Bookman Old Style"/>
          <w:color w:val="221E1F"/>
        </w:rPr>
        <w:t>environment,</w:t>
      </w:r>
      <w:r w:rsidRPr="00BD1A8E">
        <w:rPr>
          <w:rFonts w:ascii="Bookman Old Style" w:hAnsi="Bookman Old Style"/>
          <w:color w:val="000000"/>
        </w:rPr>
        <w:t xml:space="preserve"> </w:t>
      </w:r>
      <w:r w:rsidRPr="00BD1A8E">
        <w:rPr>
          <w:rFonts w:ascii="Bookman Old Style" w:hAnsi="Bookman Old Style"/>
          <w:color w:val="221E1F"/>
        </w:rPr>
        <w:t>administrative</w:t>
      </w:r>
      <w:r w:rsidRPr="00BD1A8E">
        <w:rPr>
          <w:rFonts w:ascii="Bookman Old Style" w:hAnsi="Bookman Old Style"/>
          <w:color w:val="000000"/>
        </w:rPr>
        <w:t xml:space="preserve"> </w:t>
      </w:r>
      <w:r w:rsidRPr="00BD1A8E">
        <w:rPr>
          <w:rFonts w:ascii="Bookman Old Style" w:hAnsi="Bookman Old Style"/>
          <w:color w:val="221E1F"/>
        </w:rPr>
        <w:t>competencies,</w:t>
      </w:r>
      <w:r w:rsidRPr="00BD1A8E">
        <w:rPr>
          <w:rFonts w:ascii="Bookman Old Style" w:hAnsi="Bookman Old Style"/>
          <w:color w:val="000000"/>
        </w:rPr>
        <w:t xml:space="preserve"> </w:t>
      </w:r>
      <w:r w:rsidRPr="00BD1A8E">
        <w:rPr>
          <w:rFonts w:ascii="Bookman Old Style" w:hAnsi="Bookman Old Style"/>
          <w:color w:val="221E1F"/>
        </w:rPr>
        <w:t>resources</w:t>
      </w:r>
      <w:r w:rsidRPr="00BD1A8E">
        <w:rPr>
          <w:rFonts w:ascii="Bookman Old Style" w:hAnsi="Bookman Old Style"/>
          <w:color w:val="000000"/>
        </w:rPr>
        <w:t xml:space="preserve"> </w:t>
      </w:r>
      <w:r w:rsidRPr="00BD1A8E">
        <w:rPr>
          <w:rFonts w:ascii="Bookman Old Style" w:hAnsi="Bookman Old Style"/>
          <w:color w:val="221E1F"/>
        </w:rPr>
        <w:t>availability,</w:t>
      </w:r>
      <w:r w:rsidRPr="00BD1A8E">
        <w:rPr>
          <w:rFonts w:ascii="Bookman Old Style" w:hAnsi="Bookman Old Style"/>
          <w:color w:val="000000"/>
        </w:rPr>
        <w:t xml:space="preserve"> </w:t>
      </w:r>
      <w:r w:rsidRPr="00BD1A8E">
        <w:rPr>
          <w:rFonts w:ascii="Bookman Old Style" w:hAnsi="Bookman Old Style"/>
          <w:color w:val="221E1F"/>
        </w:rPr>
        <w:t>technological</w:t>
      </w:r>
      <w:r w:rsidRPr="00BD1A8E">
        <w:rPr>
          <w:rFonts w:ascii="Bookman Old Style" w:hAnsi="Bookman Old Style"/>
          <w:color w:val="000000"/>
        </w:rPr>
        <w:t xml:space="preserve"> </w:t>
      </w:r>
      <w:r w:rsidRPr="00BD1A8E">
        <w:rPr>
          <w:rFonts w:ascii="Bookman Old Style" w:hAnsi="Bookman Old Style"/>
          <w:color w:val="221E1F"/>
        </w:rPr>
        <w:t>levels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political</w:t>
      </w:r>
      <w:r w:rsidRPr="00BD1A8E">
        <w:rPr>
          <w:rFonts w:ascii="Bookman Old Style" w:hAnsi="Bookman Old Style"/>
          <w:color w:val="000000"/>
        </w:rPr>
        <w:t xml:space="preserve"> </w:t>
      </w:r>
      <w:r w:rsidRPr="00BD1A8E">
        <w:rPr>
          <w:rFonts w:ascii="Bookman Old Style" w:hAnsi="Bookman Old Style"/>
          <w:color w:val="221E1F"/>
        </w:rPr>
        <w:t>system,</w:t>
      </w:r>
      <w:r w:rsidRPr="00BD1A8E">
        <w:rPr>
          <w:rFonts w:ascii="Bookman Old Style" w:hAnsi="Bookman Old Style"/>
          <w:color w:val="000000"/>
        </w:rPr>
        <w:t xml:space="preserve"> </w:t>
      </w:r>
      <w:r w:rsidRPr="00BD1A8E">
        <w:rPr>
          <w:rFonts w:ascii="Bookman Old Style" w:hAnsi="Bookman Old Style"/>
          <w:color w:val="221E1F"/>
        </w:rPr>
        <w:t>with</w:t>
      </w:r>
      <w:r w:rsidRPr="00BD1A8E">
        <w:rPr>
          <w:rFonts w:ascii="Bookman Old Style" w:hAnsi="Bookman Old Style"/>
          <w:color w:val="000000"/>
        </w:rPr>
        <w:t xml:space="preserve"> </w:t>
      </w:r>
      <w:r w:rsidRPr="00BD1A8E">
        <w:rPr>
          <w:rFonts w:ascii="Bookman Old Style" w:hAnsi="Bookman Old Style"/>
          <w:color w:val="221E1F"/>
        </w:rPr>
        <w:t>a</w:t>
      </w:r>
      <w:r w:rsidRPr="00BD1A8E">
        <w:rPr>
          <w:rFonts w:ascii="Bookman Old Style" w:hAnsi="Bookman Old Style"/>
          <w:color w:val="000000"/>
        </w:rPr>
        <w:t xml:space="preserve"> </w:t>
      </w:r>
      <w:r w:rsidRPr="00BD1A8E">
        <w:rPr>
          <w:rFonts w:ascii="Bookman Old Style" w:hAnsi="Bookman Old Style"/>
          <w:color w:val="221E1F"/>
        </w:rPr>
        <w:t>view</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identify</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situation’s</w:t>
      </w:r>
      <w:r w:rsidRPr="00BD1A8E">
        <w:rPr>
          <w:rFonts w:ascii="Bookman Old Style" w:hAnsi="Bookman Old Style"/>
          <w:color w:val="000000"/>
        </w:rPr>
        <w:t xml:space="preserve"> </w:t>
      </w:r>
      <w:r w:rsidRPr="00BD1A8E">
        <w:rPr>
          <w:rFonts w:ascii="Bookman Old Style" w:hAnsi="Bookman Old Style"/>
          <w:color w:val="221E1F"/>
        </w:rPr>
        <w:t>shortcomings (De</w:t>
      </w:r>
      <w:r w:rsidRPr="00BD1A8E">
        <w:rPr>
          <w:rFonts w:ascii="Bookman Old Style" w:hAnsi="Bookman Old Style"/>
          <w:color w:val="000000"/>
        </w:rPr>
        <w:t xml:space="preserve"> </w:t>
      </w:r>
      <w:r w:rsidRPr="00BD1A8E">
        <w:rPr>
          <w:rFonts w:ascii="Bookman Old Style" w:hAnsi="Bookman Old Style"/>
          <w:color w:val="221E1F"/>
        </w:rPr>
        <w:t>Wulf</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Sokol,</w:t>
      </w:r>
      <w:r w:rsidRPr="00BD1A8E">
        <w:rPr>
          <w:rFonts w:ascii="Bookman Old Style" w:hAnsi="Bookman Old Style"/>
          <w:color w:val="000000"/>
        </w:rPr>
        <w:t xml:space="preserve"> </w:t>
      </w:r>
      <w:r w:rsidRPr="00BD1A8E">
        <w:rPr>
          <w:rFonts w:ascii="Bookman Old Style" w:hAnsi="Bookman Old Style"/>
          <w:color w:val="221E1F"/>
        </w:rPr>
        <w:t>2005). Diagnosing needs</w:t>
      </w:r>
      <w:r w:rsidRPr="00BD1A8E">
        <w:rPr>
          <w:rFonts w:ascii="Bookman Old Style" w:hAnsi="Bookman Old Style"/>
          <w:color w:val="000000"/>
        </w:rPr>
        <w:t xml:space="preserve"> </w:t>
      </w:r>
      <w:r w:rsidRPr="00BD1A8E">
        <w:rPr>
          <w:rFonts w:ascii="Bookman Old Style" w:hAnsi="Bookman Old Style"/>
          <w:color w:val="221E1F"/>
        </w:rPr>
        <w:t>is</w:t>
      </w:r>
      <w:r w:rsidRPr="00BD1A8E">
        <w:rPr>
          <w:rFonts w:ascii="Bookman Old Style" w:hAnsi="Bookman Old Style"/>
          <w:color w:val="000000"/>
        </w:rPr>
        <w:t xml:space="preserve"> </w:t>
      </w:r>
      <w:r w:rsidRPr="00BD1A8E">
        <w:rPr>
          <w:rFonts w:ascii="Bookman Old Style" w:hAnsi="Bookman Old Style"/>
          <w:color w:val="221E1F"/>
        </w:rPr>
        <w:t>frequently</w:t>
      </w:r>
      <w:r w:rsidRPr="00BD1A8E">
        <w:rPr>
          <w:rFonts w:ascii="Bookman Old Style" w:hAnsi="Bookman Old Style"/>
          <w:color w:val="000000"/>
        </w:rPr>
        <w:t xml:space="preserve"> </w:t>
      </w:r>
      <w:r w:rsidRPr="00BD1A8E">
        <w:rPr>
          <w:rFonts w:ascii="Bookman Old Style" w:hAnsi="Bookman Old Style"/>
          <w:color w:val="221E1F"/>
        </w:rPr>
        <w:t>considered</w:t>
      </w:r>
      <w:r w:rsidRPr="00BD1A8E">
        <w:rPr>
          <w:rFonts w:ascii="Bookman Old Style" w:hAnsi="Bookman Old Style"/>
          <w:color w:val="000000"/>
        </w:rPr>
        <w:t xml:space="preserve"> </w:t>
      </w:r>
      <w:r w:rsidRPr="00BD1A8E">
        <w:rPr>
          <w:rFonts w:ascii="Bookman Old Style" w:hAnsi="Bookman Old Style"/>
          <w:color w:val="221E1F"/>
        </w:rPr>
        <w:t>as</w:t>
      </w:r>
      <w:r w:rsidRPr="00BD1A8E">
        <w:rPr>
          <w:rFonts w:ascii="Bookman Old Style" w:hAnsi="Bookman Old Style"/>
          <w:color w:val="000000"/>
        </w:rPr>
        <w:t xml:space="preserve"> </w:t>
      </w:r>
      <w:r w:rsidRPr="00BD1A8E">
        <w:rPr>
          <w:rFonts w:ascii="Bookman Old Style" w:hAnsi="Bookman Old Style"/>
          <w:color w:val="221E1F"/>
        </w:rPr>
        <w:t>a</w:t>
      </w:r>
      <w:r w:rsidRPr="00BD1A8E">
        <w:rPr>
          <w:rFonts w:ascii="Bookman Old Style" w:hAnsi="Bookman Old Style"/>
          <w:color w:val="000000"/>
        </w:rPr>
        <w:t xml:space="preserve"> </w:t>
      </w:r>
      <w:r w:rsidRPr="00BD1A8E">
        <w:rPr>
          <w:rFonts w:ascii="Bookman Old Style" w:hAnsi="Bookman Old Style"/>
          <w:color w:val="221E1F"/>
        </w:rPr>
        <w:t>prerequisite</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be</w:t>
      </w:r>
      <w:r w:rsidRPr="00BD1A8E">
        <w:rPr>
          <w:rFonts w:ascii="Bookman Old Style" w:hAnsi="Bookman Old Style"/>
          <w:color w:val="000000"/>
        </w:rPr>
        <w:t xml:space="preserve"> </w:t>
      </w:r>
      <w:r w:rsidRPr="00BD1A8E">
        <w:rPr>
          <w:rFonts w:ascii="Bookman Old Style" w:hAnsi="Bookman Old Style"/>
          <w:color w:val="221E1F"/>
        </w:rPr>
        <w:t>able</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define</w:t>
      </w:r>
      <w:r w:rsidRPr="00BD1A8E">
        <w:rPr>
          <w:rFonts w:ascii="Bookman Old Style" w:hAnsi="Bookman Old Style"/>
          <w:color w:val="000000"/>
        </w:rPr>
        <w:t xml:space="preserve"> </w:t>
      </w:r>
      <w:r w:rsidRPr="00BD1A8E">
        <w:rPr>
          <w:rFonts w:ascii="Bookman Old Style" w:hAnsi="Bookman Old Style"/>
          <w:color w:val="221E1F"/>
        </w:rPr>
        <w:t>not</w:t>
      </w:r>
      <w:r w:rsidRPr="00BD1A8E">
        <w:rPr>
          <w:rFonts w:ascii="Bookman Old Style" w:hAnsi="Bookman Old Style"/>
          <w:color w:val="000000"/>
        </w:rPr>
        <w:t xml:space="preserve"> </w:t>
      </w:r>
      <w:r w:rsidRPr="00BD1A8E">
        <w:rPr>
          <w:rFonts w:ascii="Bookman Old Style" w:hAnsi="Bookman Old Style"/>
          <w:color w:val="221E1F"/>
        </w:rPr>
        <w:t>only</w:t>
      </w:r>
      <w:r w:rsidRPr="00BD1A8E">
        <w:rPr>
          <w:rFonts w:ascii="Bookman Old Style" w:hAnsi="Bookman Old Style"/>
          <w:color w:val="000000"/>
        </w:rPr>
        <w:t xml:space="preserve"> </w:t>
      </w:r>
      <w:r w:rsidRPr="00BD1A8E">
        <w:rPr>
          <w:rFonts w:ascii="Bookman Old Style" w:hAnsi="Bookman Old Style"/>
          <w:color w:val="221E1F"/>
        </w:rPr>
        <w:t>realistic</w:t>
      </w:r>
      <w:r w:rsidRPr="00BD1A8E">
        <w:rPr>
          <w:rFonts w:ascii="Bookman Old Style" w:hAnsi="Bookman Old Style"/>
          <w:color w:val="000000"/>
        </w:rPr>
        <w:t xml:space="preserve"> </w:t>
      </w:r>
      <w:r w:rsidRPr="00BD1A8E">
        <w:rPr>
          <w:rFonts w:ascii="Bookman Old Style" w:hAnsi="Bookman Old Style"/>
          <w:color w:val="221E1F"/>
        </w:rPr>
        <w:t>objectives</w:t>
      </w:r>
      <w:r w:rsidRPr="00BD1A8E">
        <w:rPr>
          <w:rFonts w:ascii="Bookman Old Style" w:hAnsi="Bookman Old Style"/>
          <w:color w:val="000000"/>
        </w:rPr>
        <w:t xml:space="preserve"> </w:t>
      </w:r>
      <w:r w:rsidRPr="00BD1A8E">
        <w:rPr>
          <w:rFonts w:ascii="Bookman Old Style" w:hAnsi="Bookman Old Style"/>
          <w:color w:val="221E1F"/>
        </w:rPr>
        <w:t>but</w:t>
      </w:r>
      <w:r w:rsidRPr="00BD1A8E">
        <w:rPr>
          <w:rFonts w:ascii="Bookman Old Style" w:hAnsi="Bookman Old Style"/>
          <w:color w:val="000000"/>
        </w:rPr>
        <w:t xml:space="preserve"> </w:t>
      </w:r>
      <w:r w:rsidRPr="00BD1A8E">
        <w:rPr>
          <w:rFonts w:ascii="Bookman Old Style" w:hAnsi="Bookman Old Style"/>
          <w:color w:val="221E1F"/>
        </w:rPr>
        <w:t>also</w:t>
      </w:r>
      <w:r w:rsidRPr="00BD1A8E">
        <w:rPr>
          <w:rFonts w:ascii="Bookman Old Style" w:hAnsi="Bookman Old Style"/>
          <w:color w:val="000000"/>
        </w:rPr>
        <w:t xml:space="preserve"> </w:t>
      </w:r>
      <w:r w:rsidRPr="00BD1A8E">
        <w:rPr>
          <w:rFonts w:ascii="Bookman Old Style" w:hAnsi="Bookman Old Style"/>
          <w:color w:val="221E1F"/>
        </w:rPr>
        <w:t>a</w:t>
      </w:r>
      <w:r w:rsidRPr="00BD1A8E">
        <w:rPr>
          <w:rFonts w:ascii="Bookman Old Style" w:hAnsi="Bookman Old Style"/>
          <w:color w:val="000000"/>
        </w:rPr>
        <w:t xml:space="preserve"> </w:t>
      </w:r>
      <w:r w:rsidRPr="00BD1A8E">
        <w:rPr>
          <w:rFonts w:ascii="Bookman Old Style" w:hAnsi="Bookman Old Style"/>
          <w:color w:val="221E1F"/>
        </w:rPr>
        <w:t>clear</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coherent</w:t>
      </w:r>
      <w:r w:rsidRPr="00BD1A8E">
        <w:rPr>
          <w:rFonts w:ascii="Bookman Old Style" w:hAnsi="Bookman Old Style"/>
          <w:color w:val="000000"/>
        </w:rPr>
        <w:t xml:space="preserve"> </w:t>
      </w:r>
      <w:r w:rsidRPr="00BD1A8E">
        <w:rPr>
          <w:rFonts w:ascii="Bookman Old Style" w:hAnsi="Bookman Old Style"/>
          <w:color w:val="221E1F"/>
        </w:rPr>
        <w:t>strategy</w:t>
      </w:r>
      <w:r w:rsidRPr="00BD1A8E">
        <w:rPr>
          <w:rFonts w:ascii="Bookman Old Style" w:hAnsi="Bookman Old Style"/>
          <w:color w:val="000000"/>
        </w:rPr>
        <w:t xml:space="preserve"> </w:t>
      </w:r>
      <w:r w:rsidRPr="00BD1A8E">
        <w:rPr>
          <w:rFonts w:ascii="Bookman Old Style" w:hAnsi="Bookman Old Style"/>
          <w:color w:val="221E1F"/>
        </w:rPr>
        <w:t>tailored</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situation,</w:t>
      </w:r>
      <w:r w:rsidRPr="00BD1A8E">
        <w:rPr>
          <w:rFonts w:ascii="Bookman Old Style" w:hAnsi="Bookman Old Style"/>
          <w:color w:val="000000"/>
        </w:rPr>
        <w:t xml:space="preserve"> </w:t>
      </w:r>
      <w:r w:rsidRPr="00BD1A8E">
        <w:rPr>
          <w:rFonts w:ascii="Bookman Old Style" w:hAnsi="Bookman Old Style"/>
          <w:color w:val="221E1F"/>
        </w:rPr>
        <w:t>as</w:t>
      </w:r>
      <w:r w:rsidRPr="00BD1A8E">
        <w:rPr>
          <w:rFonts w:ascii="Bookman Old Style" w:hAnsi="Bookman Old Style"/>
          <w:color w:val="000000"/>
        </w:rPr>
        <w:t xml:space="preserve"> </w:t>
      </w:r>
      <w:r w:rsidRPr="00BD1A8E">
        <w:rPr>
          <w:rFonts w:ascii="Bookman Old Style" w:hAnsi="Bookman Old Style"/>
          <w:color w:val="221E1F"/>
        </w:rPr>
        <w:t>mentioned</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41</w:t>
      </w:r>
      <w:r w:rsidRPr="00BD1A8E">
        <w:rPr>
          <w:rFonts w:ascii="Bookman Old Style" w:hAnsi="Bookman Old Style"/>
          <w:color w:val="000000"/>
        </w:rPr>
        <w:t xml:space="preserve"> </w:t>
      </w:r>
      <w:r w:rsidRPr="00BD1A8E">
        <w:rPr>
          <w:rFonts w:ascii="Bookman Old Style" w:hAnsi="Bookman Old Style"/>
          <w:color w:val="221E1F"/>
        </w:rPr>
        <w:t>case</w:t>
      </w:r>
      <w:r w:rsidRPr="00BD1A8E">
        <w:rPr>
          <w:rFonts w:ascii="Bookman Old Style" w:hAnsi="Bookman Old Style"/>
          <w:color w:val="000000"/>
        </w:rPr>
        <w:t xml:space="preserve"> </w:t>
      </w:r>
      <w:r w:rsidRPr="00BD1A8E">
        <w:rPr>
          <w:rFonts w:ascii="Bookman Old Style" w:hAnsi="Bookman Old Style"/>
          <w:color w:val="221E1F"/>
        </w:rPr>
        <w:t>stories.</w:t>
      </w:r>
      <w:r w:rsidRPr="00BD1A8E">
        <w:rPr>
          <w:rFonts w:ascii="Bookman Old Style" w:hAnsi="Bookman Old Style"/>
          <w:color w:val="000000"/>
        </w:rPr>
        <w:t xml:space="preserve"> </w:t>
      </w:r>
      <w:r w:rsidRPr="00BD1A8E">
        <w:rPr>
          <w:rFonts w:ascii="Bookman Old Style" w:hAnsi="Bookman Old Style"/>
          <w:color w:val="221E1F"/>
        </w:rPr>
        <w:t>Evidence</w:t>
      </w:r>
      <w:r w:rsidRPr="00BD1A8E">
        <w:rPr>
          <w:rFonts w:ascii="Bookman Old Style" w:hAnsi="Bookman Old Style"/>
          <w:color w:val="000000"/>
        </w:rPr>
        <w:t xml:space="preserve"> </w:t>
      </w:r>
      <w:r w:rsidRPr="00BD1A8E">
        <w:rPr>
          <w:rFonts w:ascii="Bookman Old Style" w:hAnsi="Bookman Old Style"/>
          <w:color w:val="221E1F"/>
        </w:rPr>
        <w:t>suggests</w:t>
      </w:r>
      <w:r w:rsidRPr="00BD1A8E">
        <w:rPr>
          <w:rFonts w:ascii="Bookman Old Style" w:hAnsi="Bookman Old Style"/>
          <w:color w:val="000000"/>
        </w:rPr>
        <w:t xml:space="preserve"> </w:t>
      </w:r>
      <w:r w:rsidRPr="00BD1A8E">
        <w:rPr>
          <w:rFonts w:ascii="Bookman Old Style" w:hAnsi="Bookman Old Style"/>
          <w:color w:val="221E1F"/>
        </w:rPr>
        <w:t>that,</w:t>
      </w:r>
      <w:r w:rsidRPr="00BD1A8E">
        <w:rPr>
          <w:rFonts w:ascii="Bookman Old Style" w:hAnsi="Bookman Old Style"/>
          <w:color w:val="000000"/>
        </w:rPr>
        <w:t xml:space="preserve"> </w:t>
      </w:r>
      <w:r w:rsidRPr="00BD1A8E">
        <w:rPr>
          <w:rFonts w:ascii="Bookman Old Style" w:hAnsi="Bookman Old Style"/>
          <w:color w:val="221E1F"/>
        </w:rPr>
        <w:t>as</w:t>
      </w:r>
      <w:r w:rsidRPr="00BD1A8E">
        <w:rPr>
          <w:rFonts w:ascii="Bookman Old Style" w:hAnsi="Bookman Old Style"/>
          <w:color w:val="000000"/>
        </w:rPr>
        <w:t xml:space="preserve"> </w:t>
      </w:r>
      <w:r w:rsidRPr="00BD1A8E">
        <w:rPr>
          <w:rFonts w:ascii="Bookman Old Style" w:hAnsi="Bookman Old Style"/>
          <w:color w:val="221E1F"/>
        </w:rPr>
        <w:t>most</w:t>
      </w:r>
      <w:r w:rsidRPr="00BD1A8E">
        <w:rPr>
          <w:rFonts w:ascii="Bookman Old Style" w:hAnsi="Bookman Old Style"/>
          <w:color w:val="000000"/>
        </w:rPr>
        <w:t xml:space="preserve"> </w:t>
      </w:r>
      <w:r w:rsidRPr="00BD1A8E">
        <w:rPr>
          <w:rFonts w:ascii="Bookman Old Style" w:hAnsi="Bookman Old Style"/>
          <w:color w:val="221E1F"/>
        </w:rPr>
        <w:t>trade</w:t>
      </w:r>
      <w:r w:rsidRPr="00BD1A8E">
        <w:rPr>
          <w:rFonts w:ascii="Bookman Old Style" w:hAnsi="Bookman Old Style"/>
          <w:color w:val="000000"/>
        </w:rPr>
        <w:t xml:space="preserve"> </w:t>
      </w:r>
      <w:r w:rsidRPr="00BD1A8E">
        <w:rPr>
          <w:rFonts w:ascii="Bookman Old Style" w:hAnsi="Bookman Old Style"/>
          <w:color w:val="221E1F"/>
        </w:rPr>
        <w:t>facilitation</w:t>
      </w:r>
      <w:r w:rsidRPr="00BD1A8E">
        <w:rPr>
          <w:rFonts w:ascii="Bookman Old Style" w:hAnsi="Bookman Old Style"/>
          <w:color w:val="000000"/>
        </w:rPr>
        <w:t xml:space="preserve"> </w:t>
      </w:r>
      <w:r w:rsidRPr="00BD1A8E">
        <w:rPr>
          <w:rFonts w:ascii="Bookman Old Style" w:hAnsi="Bookman Old Style"/>
          <w:color w:val="221E1F"/>
        </w:rPr>
        <w:t>measures</w:t>
      </w:r>
      <w:r w:rsidRPr="00BD1A8E">
        <w:rPr>
          <w:rFonts w:ascii="Bookman Old Style" w:hAnsi="Bookman Old Style"/>
          <w:color w:val="000000"/>
        </w:rPr>
        <w:t xml:space="preserve"> </w:t>
      </w:r>
      <w:r w:rsidRPr="00BD1A8E">
        <w:rPr>
          <w:rFonts w:ascii="Bookman Old Style" w:hAnsi="Bookman Old Style"/>
          <w:color w:val="221E1F"/>
        </w:rPr>
        <w:t>are</w:t>
      </w:r>
      <w:r w:rsidRPr="00BD1A8E">
        <w:rPr>
          <w:rFonts w:ascii="Bookman Old Style" w:hAnsi="Bookman Old Style"/>
          <w:color w:val="000000"/>
        </w:rPr>
        <w:t xml:space="preserve"> </w:t>
      </w:r>
      <w:r w:rsidRPr="00BD1A8E">
        <w:rPr>
          <w:rFonts w:ascii="Bookman Old Style" w:hAnsi="Bookman Old Style"/>
          <w:color w:val="221E1F"/>
        </w:rPr>
        <w:t>interrelated,</w:t>
      </w:r>
      <w:r w:rsidRPr="00BD1A8E">
        <w:rPr>
          <w:rFonts w:ascii="Bookman Old Style" w:hAnsi="Bookman Old Style"/>
          <w:color w:val="000000"/>
        </w:rPr>
        <w:t xml:space="preserve"> </w:t>
      </w:r>
      <w:r w:rsidRPr="00BD1A8E">
        <w:rPr>
          <w:rFonts w:ascii="Bookman Old Style" w:hAnsi="Bookman Old Style"/>
          <w:color w:val="221E1F"/>
        </w:rPr>
        <w:t>they</w:t>
      </w:r>
      <w:r w:rsidRPr="00BD1A8E">
        <w:rPr>
          <w:rFonts w:ascii="Bookman Old Style" w:hAnsi="Bookman Old Style"/>
          <w:color w:val="000000"/>
        </w:rPr>
        <w:t xml:space="preserve"> </w:t>
      </w:r>
      <w:r w:rsidRPr="00BD1A8E">
        <w:rPr>
          <w:rFonts w:ascii="Bookman Old Style" w:hAnsi="Bookman Old Style"/>
          <w:color w:val="221E1F"/>
        </w:rPr>
        <w:t>may</w:t>
      </w:r>
      <w:r w:rsidRPr="00BD1A8E">
        <w:rPr>
          <w:rFonts w:ascii="Bookman Old Style" w:hAnsi="Bookman Old Style"/>
          <w:color w:val="000000"/>
        </w:rPr>
        <w:t xml:space="preserve"> </w:t>
      </w:r>
      <w:r w:rsidRPr="00BD1A8E">
        <w:rPr>
          <w:rFonts w:ascii="Bookman Old Style" w:hAnsi="Bookman Old Style"/>
          <w:color w:val="221E1F"/>
        </w:rPr>
        <w:t>fail</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achieve</w:t>
      </w:r>
      <w:r w:rsidRPr="00BD1A8E">
        <w:rPr>
          <w:rFonts w:ascii="Bookman Old Style" w:hAnsi="Bookman Old Style"/>
          <w:color w:val="000000"/>
        </w:rPr>
        <w:t xml:space="preserve"> </w:t>
      </w:r>
      <w:r w:rsidRPr="00BD1A8E">
        <w:rPr>
          <w:rFonts w:ascii="Bookman Old Style" w:hAnsi="Bookman Old Style"/>
          <w:color w:val="221E1F"/>
        </w:rPr>
        <w:t>their</w:t>
      </w:r>
      <w:r w:rsidRPr="00BD1A8E">
        <w:rPr>
          <w:rFonts w:ascii="Bookman Old Style" w:hAnsi="Bookman Old Style"/>
          <w:color w:val="000000"/>
        </w:rPr>
        <w:t xml:space="preserve"> </w:t>
      </w:r>
      <w:r w:rsidRPr="00BD1A8E">
        <w:rPr>
          <w:rFonts w:ascii="Bookman Old Style" w:hAnsi="Bookman Old Style"/>
          <w:color w:val="221E1F"/>
        </w:rPr>
        <w:t>full</w:t>
      </w:r>
      <w:r w:rsidRPr="00BD1A8E">
        <w:rPr>
          <w:rFonts w:ascii="Bookman Old Style" w:hAnsi="Bookman Old Style"/>
          <w:color w:val="000000"/>
        </w:rPr>
        <w:t xml:space="preserve"> </w:t>
      </w:r>
      <w:r w:rsidRPr="00BD1A8E">
        <w:rPr>
          <w:rFonts w:ascii="Bookman Old Style" w:hAnsi="Bookman Old Style"/>
          <w:color w:val="221E1F"/>
        </w:rPr>
        <w:t>potential</w:t>
      </w:r>
      <w:r w:rsidRPr="00BD1A8E">
        <w:rPr>
          <w:rFonts w:ascii="Bookman Old Style" w:hAnsi="Bookman Old Style"/>
          <w:color w:val="000000"/>
        </w:rPr>
        <w:t xml:space="preserve"> </w:t>
      </w:r>
      <w:r w:rsidRPr="00BD1A8E">
        <w:rPr>
          <w:rFonts w:ascii="Bookman Old Style" w:hAnsi="Bookman Old Style"/>
          <w:color w:val="221E1F"/>
        </w:rPr>
        <w:t>effectiveness</w:t>
      </w:r>
      <w:r w:rsidRPr="00BD1A8E">
        <w:rPr>
          <w:rFonts w:ascii="Bookman Old Style" w:hAnsi="Bookman Old Style"/>
          <w:color w:val="000000"/>
        </w:rPr>
        <w:t xml:space="preserve"> </w:t>
      </w:r>
      <w:r w:rsidRPr="00BD1A8E">
        <w:rPr>
          <w:rFonts w:ascii="Bookman Old Style" w:hAnsi="Bookman Old Style"/>
          <w:color w:val="221E1F"/>
        </w:rPr>
        <w:t>when</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measures</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question</w:t>
      </w:r>
      <w:r w:rsidRPr="00BD1A8E">
        <w:rPr>
          <w:rFonts w:ascii="Bookman Old Style" w:hAnsi="Bookman Old Style"/>
          <w:color w:val="000000"/>
        </w:rPr>
        <w:t xml:space="preserve"> </w:t>
      </w:r>
      <w:r w:rsidRPr="00BD1A8E">
        <w:rPr>
          <w:rFonts w:ascii="Bookman Old Style" w:hAnsi="Bookman Old Style"/>
          <w:color w:val="221E1F"/>
        </w:rPr>
        <w:t>are</w:t>
      </w:r>
      <w:r w:rsidRPr="00BD1A8E">
        <w:rPr>
          <w:rFonts w:ascii="Bookman Old Style" w:hAnsi="Bookman Old Style"/>
          <w:color w:val="000000"/>
        </w:rPr>
        <w:t xml:space="preserve"> </w:t>
      </w:r>
      <w:r w:rsidRPr="00BD1A8E">
        <w:rPr>
          <w:rFonts w:ascii="Bookman Old Style" w:hAnsi="Bookman Old Style"/>
          <w:color w:val="221E1F"/>
        </w:rPr>
        <w:t>implemented</w:t>
      </w:r>
      <w:r w:rsidRPr="00BD1A8E">
        <w:rPr>
          <w:rFonts w:ascii="Bookman Old Style" w:hAnsi="Bookman Old Style"/>
          <w:color w:val="000000"/>
        </w:rPr>
        <w:t xml:space="preserve"> </w:t>
      </w:r>
      <w:r w:rsidRPr="00BD1A8E">
        <w:rPr>
          <w:rFonts w:ascii="Bookman Old Style" w:hAnsi="Bookman Old Style"/>
          <w:color w:val="221E1F"/>
        </w:rPr>
        <w:t>partially,</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isolation</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absence</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an</w:t>
      </w:r>
      <w:r w:rsidRPr="00BD1A8E">
        <w:rPr>
          <w:rFonts w:ascii="Bookman Old Style" w:hAnsi="Bookman Old Style"/>
          <w:color w:val="000000"/>
        </w:rPr>
        <w:t xml:space="preserve"> </w:t>
      </w:r>
      <w:r w:rsidRPr="00BD1A8E">
        <w:rPr>
          <w:rFonts w:ascii="Bookman Old Style" w:hAnsi="Bookman Old Style"/>
          <w:color w:val="221E1F"/>
        </w:rPr>
        <w:t>appropriate</w:t>
      </w:r>
      <w:r w:rsidRPr="00BD1A8E">
        <w:rPr>
          <w:rFonts w:ascii="Bookman Old Style" w:hAnsi="Bookman Old Style"/>
          <w:color w:val="000000"/>
        </w:rPr>
        <w:t xml:space="preserve"> </w:t>
      </w:r>
      <w:r w:rsidRPr="00BD1A8E">
        <w:rPr>
          <w:rFonts w:ascii="Bookman Old Style" w:hAnsi="Bookman Old Style"/>
          <w:color w:val="221E1F"/>
        </w:rPr>
        <w:t>sequencing</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measures</w:t>
      </w:r>
      <w:r w:rsidRPr="00BD1A8E">
        <w:rPr>
          <w:rFonts w:ascii="Bookman Old Style" w:hAnsi="Bookman Old Style"/>
          <w:color w:val="000000"/>
        </w:rPr>
        <w:t xml:space="preserve"> </w:t>
      </w:r>
      <w:r w:rsidRPr="00BD1A8E">
        <w:rPr>
          <w:rFonts w:ascii="Bookman Old Style" w:hAnsi="Bookman Old Style"/>
          <w:color w:val="221E1F"/>
        </w:rPr>
        <w:t>(De</w:t>
      </w:r>
      <w:r w:rsidRPr="00BD1A8E">
        <w:rPr>
          <w:rFonts w:ascii="Bookman Old Style" w:hAnsi="Bookman Old Style"/>
          <w:color w:val="000000"/>
        </w:rPr>
        <w:t xml:space="preserve"> </w:t>
      </w:r>
      <w:r w:rsidRPr="00BD1A8E">
        <w:rPr>
          <w:rFonts w:ascii="Bookman Old Style" w:hAnsi="Bookman Old Style"/>
          <w:color w:val="221E1F"/>
        </w:rPr>
        <w:t>Wulf</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Sokol,</w:t>
      </w:r>
      <w:r w:rsidRPr="00BD1A8E">
        <w:rPr>
          <w:rFonts w:ascii="Bookman Old Style" w:hAnsi="Bookman Old Style"/>
          <w:color w:val="000000"/>
        </w:rPr>
        <w:t xml:space="preserve"> </w:t>
      </w:r>
      <w:r w:rsidRPr="00BD1A8E">
        <w:rPr>
          <w:rFonts w:ascii="Bookman Old Style" w:hAnsi="Bookman Old Style"/>
          <w:color w:val="221E1F"/>
        </w:rPr>
        <w:t>2005; Moïsé,</w:t>
      </w:r>
      <w:r w:rsidRPr="00BD1A8E">
        <w:rPr>
          <w:rFonts w:ascii="Bookman Old Style" w:hAnsi="Bookman Old Style"/>
          <w:color w:val="000000"/>
        </w:rPr>
        <w:t xml:space="preserve"> </w:t>
      </w:r>
      <w:r w:rsidRPr="00BD1A8E">
        <w:rPr>
          <w:rFonts w:ascii="Bookman Old Style" w:hAnsi="Bookman Old Style"/>
          <w:color w:val="221E1F"/>
        </w:rPr>
        <w:t xml:space="preserve">2006). </w:t>
      </w:r>
    </w:p>
    <w:p w14:paraId="78F60B60" w14:textId="77777777" w:rsidR="00FB5722" w:rsidRPr="00BD1A8E" w:rsidRDefault="00FB5722" w:rsidP="00FB5722">
      <w:pPr>
        <w:ind w:left="144"/>
        <w:rPr>
          <w:rFonts w:ascii="Bookman Old Style" w:hAnsi="Bookman Old Style"/>
          <w:sz w:val="24"/>
          <w:szCs w:val="24"/>
        </w:rPr>
      </w:pPr>
    </w:p>
    <w:p w14:paraId="121F4D1A" w14:textId="77777777" w:rsidR="00FB5722" w:rsidRPr="00BD1A8E" w:rsidRDefault="00FB5722" w:rsidP="00FB5722">
      <w:pPr>
        <w:pStyle w:val="Pa31"/>
        <w:numPr>
          <w:ilvl w:val="0"/>
          <w:numId w:val="73"/>
        </w:numPr>
        <w:jc w:val="both"/>
        <w:rPr>
          <w:rFonts w:ascii="Bookman Old Style" w:hAnsi="Bookman Old Style"/>
          <w:color w:val="221E1F"/>
        </w:rPr>
      </w:pPr>
      <w:r w:rsidRPr="00BD1A8E">
        <w:rPr>
          <w:rFonts w:ascii="Bookman Old Style" w:hAnsi="Bookman Old Style"/>
          <w:color w:val="221E1F"/>
        </w:rPr>
        <w:t>Transparency</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monitoring is a very critical factor in TFA implementation. Keeping</w:t>
      </w:r>
      <w:r w:rsidRPr="00BD1A8E">
        <w:rPr>
          <w:rFonts w:ascii="Bookman Old Style" w:hAnsi="Bookman Old Style"/>
          <w:color w:val="000000"/>
        </w:rPr>
        <w:t xml:space="preserve"> </w:t>
      </w:r>
      <w:r w:rsidRPr="00BD1A8E">
        <w:rPr>
          <w:rFonts w:ascii="Bookman Old Style" w:hAnsi="Bookman Old Style"/>
          <w:color w:val="221E1F"/>
        </w:rPr>
        <w:t>policy-makers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relevant</w:t>
      </w:r>
      <w:r w:rsidRPr="00BD1A8E">
        <w:rPr>
          <w:rFonts w:ascii="Bookman Old Style" w:hAnsi="Bookman Old Style"/>
          <w:color w:val="000000"/>
        </w:rPr>
        <w:t xml:space="preserve"> </w:t>
      </w:r>
      <w:r w:rsidRPr="00BD1A8E">
        <w:rPr>
          <w:rFonts w:ascii="Bookman Old Style" w:hAnsi="Bookman Old Style"/>
          <w:color w:val="221E1F"/>
        </w:rPr>
        <w:t>stakeholders,</w:t>
      </w:r>
      <w:r w:rsidRPr="00BD1A8E">
        <w:rPr>
          <w:rFonts w:ascii="Bookman Old Style" w:hAnsi="Bookman Old Style"/>
          <w:color w:val="000000"/>
        </w:rPr>
        <w:t xml:space="preserve"> </w:t>
      </w:r>
      <w:r w:rsidRPr="00BD1A8E">
        <w:rPr>
          <w:rFonts w:ascii="Bookman Old Style" w:hAnsi="Bookman Old Style"/>
          <w:color w:val="221E1F"/>
        </w:rPr>
        <w:t>including</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private</w:t>
      </w:r>
      <w:r w:rsidRPr="00BD1A8E">
        <w:rPr>
          <w:rFonts w:ascii="Bookman Old Style" w:hAnsi="Bookman Old Style"/>
          <w:color w:val="000000"/>
        </w:rPr>
        <w:t xml:space="preserve"> </w:t>
      </w:r>
      <w:r w:rsidRPr="00BD1A8E">
        <w:rPr>
          <w:rFonts w:ascii="Bookman Old Style" w:hAnsi="Bookman Old Style"/>
          <w:color w:val="221E1F"/>
        </w:rPr>
        <w:t>sector,</w:t>
      </w:r>
      <w:r w:rsidRPr="00BD1A8E">
        <w:rPr>
          <w:rFonts w:ascii="Bookman Old Style" w:hAnsi="Bookman Old Style"/>
          <w:color w:val="000000"/>
        </w:rPr>
        <w:t xml:space="preserve"> </w:t>
      </w:r>
      <w:r w:rsidRPr="00BD1A8E">
        <w:rPr>
          <w:rFonts w:ascii="Bookman Old Style" w:hAnsi="Bookman Old Style"/>
          <w:color w:val="221E1F"/>
        </w:rPr>
        <w:t>informed</w:t>
      </w:r>
      <w:r w:rsidRPr="00BD1A8E">
        <w:rPr>
          <w:rFonts w:ascii="Bookman Old Style" w:hAnsi="Bookman Old Style"/>
          <w:color w:val="000000"/>
        </w:rPr>
        <w:t xml:space="preserve"> </w:t>
      </w:r>
      <w:r w:rsidRPr="00BD1A8E">
        <w:rPr>
          <w:rFonts w:ascii="Bookman Old Style" w:hAnsi="Bookman Old Style"/>
          <w:color w:val="221E1F"/>
        </w:rPr>
        <w:t>on</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elaboration</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a</w:t>
      </w:r>
      <w:r w:rsidRPr="00BD1A8E">
        <w:rPr>
          <w:rFonts w:ascii="Bookman Old Style" w:hAnsi="Bookman Old Style"/>
          <w:color w:val="000000"/>
        </w:rPr>
        <w:t xml:space="preserve"> </w:t>
      </w:r>
      <w:r w:rsidRPr="00BD1A8E">
        <w:rPr>
          <w:rFonts w:ascii="Bookman Old Style" w:hAnsi="Bookman Old Style"/>
          <w:color w:val="221E1F"/>
        </w:rPr>
        <w:t>trade</w:t>
      </w:r>
      <w:r w:rsidRPr="00BD1A8E">
        <w:rPr>
          <w:rFonts w:ascii="Bookman Old Style" w:hAnsi="Bookman Old Style"/>
          <w:color w:val="000000"/>
        </w:rPr>
        <w:t xml:space="preserve"> </w:t>
      </w:r>
      <w:r w:rsidRPr="00BD1A8E">
        <w:rPr>
          <w:rFonts w:ascii="Bookman Old Style" w:hAnsi="Bookman Old Style"/>
          <w:color w:val="221E1F"/>
        </w:rPr>
        <w:t>facilitation</w:t>
      </w:r>
      <w:r w:rsidRPr="00BD1A8E">
        <w:rPr>
          <w:rFonts w:ascii="Bookman Old Style" w:hAnsi="Bookman Old Style"/>
          <w:color w:val="000000"/>
        </w:rPr>
        <w:t xml:space="preserve"> </w:t>
      </w:r>
      <w:r w:rsidRPr="00BD1A8E">
        <w:rPr>
          <w:rFonts w:ascii="Bookman Old Style" w:hAnsi="Bookman Old Style"/>
          <w:color w:val="221E1F"/>
        </w:rPr>
        <w:t>initiative,</w:t>
      </w:r>
      <w:r w:rsidRPr="00BD1A8E">
        <w:rPr>
          <w:rFonts w:ascii="Bookman Old Style" w:hAnsi="Bookman Old Style"/>
          <w:color w:val="000000"/>
        </w:rPr>
        <w:t xml:space="preserve"> </w:t>
      </w:r>
      <w:r w:rsidRPr="00BD1A8E">
        <w:rPr>
          <w:rFonts w:ascii="Bookman Old Style" w:hAnsi="Bookman Old Style"/>
          <w:color w:val="221E1F"/>
        </w:rPr>
        <w:t>progress</w:t>
      </w:r>
      <w:r w:rsidRPr="00BD1A8E">
        <w:rPr>
          <w:rFonts w:ascii="Bookman Old Style" w:hAnsi="Bookman Old Style"/>
          <w:color w:val="000000"/>
        </w:rPr>
        <w:t xml:space="preserve"> </w:t>
      </w:r>
      <w:r w:rsidRPr="00BD1A8E">
        <w:rPr>
          <w:rFonts w:ascii="Bookman Old Style" w:hAnsi="Bookman Old Style"/>
          <w:color w:val="221E1F"/>
        </w:rPr>
        <w:t>achieved,</w:t>
      </w:r>
      <w:r w:rsidRPr="00BD1A8E">
        <w:rPr>
          <w:rFonts w:ascii="Bookman Old Style" w:hAnsi="Bookman Old Style"/>
          <w:color w:val="000000"/>
        </w:rPr>
        <w:t xml:space="preserve"> </w:t>
      </w:r>
      <w:r w:rsidRPr="00BD1A8E">
        <w:rPr>
          <w:rFonts w:ascii="Bookman Old Style" w:hAnsi="Bookman Old Style"/>
          <w:color w:val="221E1F"/>
        </w:rPr>
        <w:t>difficulties</w:t>
      </w:r>
      <w:r w:rsidRPr="00BD1A8E">
        <w:rPr>
          <w:rFonts w:ascii="Bookman Old Style" w:hAnsi="Bookman Old Style"/>
          <w:color w:val="000000"/>
        </w:rPr>
        <w:t xml:space="preserve"> </w:t>
      </w:r>
      <w:r w:rsidRPr="00BD1A8E">
        <w:rPr>
          <w:rFonts w:ascii="Bookman Old Style" w:hAnsi="Bookman Old Style"/>
          <w:color w:val="221E1F"/>
        </w:rPr>
        <w:t>encountered</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surmounted,</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measures</w:t>
      </w:r>
      <w:r w:rsidRPr="00BD1A8E">
        <w:rPr>
          <w:rFonts w:ascii="Bookman Old Style" w:hAnsi="Bookman Old Style"/>
          <w:color w:val="000000"/>
        </w:rPr>
        <w:t xml:space="preserve"> </w:t>
      </w:r>
      <w:r w:rsidRPr="00BD1A8E">
        <w:rPr>
          <w:rFonts w:ascii="Bookman Old Style" w:hAnsi="Bookman Old Style"/>
          <w:color w:val="221E1F"/>
        </w:rPr>
        <w:t>proposed</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address</w:t>
      </w:r>
      <w:r w:rsidRPr="00BD1A8E">
        <w:rPr>
          <w:rFonts w:ascii="Bookman Old Style" w:hAnsi="Bookman Old Style"/>
          <w:color w:val="000000"/>
        </w:rPr>
        <w:t xml:space="preserve"> </w:t>
      </w:r>
      <w:r w:rsidRPr="00BD1A8E">
        <w:rPr>
          <w:rFonts w:ascii="Bookman Old Style" w:hAnsi="Bookman Old Style"/>
          <w:color w:val="221E1F"/>
        </w:rPr>
        <w:t>delays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changed</w:t>
      </w:r>
      <w:r w:rsidRPr="00BD1A8E">
        <w:rPr>
          <w:rFonts w:ascii="Bookman Old Style" w:hAnsi="Bookman Old Style"/>
          <w:color w:val="000000"/>
        </w:rPr>
        <w:t xml:space="preserve"> </w:t>
      </w:r>
      <w:r w:rsidRPr="00BD1A8E">
        <w:rPr>
          <w:rFonts w:ascii="Bookman Old Style" w:hAnsi="Bookman Old Style"/>
          <w:color w:val="221E1F"/>
        </w:rPr>
        <w:t>conditions,</w:t>
      </w:r>
      <w:r w:rsidRPr="00BD1A8E">
        <w:rPr>
          <w:rFonts w:ascii="Bookman Old Style" w:hAnsi="Bookman Old Style"/>
          <w:color w:val="000000"/>
        </w:rPr>
        <w:t xml:space="preserve"> </w:t>
      </w:r>
      <w:r w:rsidRPr="00BD1A8E">
        <w:rPr>
          <w:rFonts w:ascii="Bookman Old Style" w:hAnsi="Bookman Old Style"/>
          <w:color w:val="221E1F"/>
        </w:rPr>
        <w:t>can</w:t>
      </w:r>
      <w:r w:rsidRPr="00BD1A8E">
        <w:rPr>
          <w:rFonts w:ascii="Bookman Old Style" w:hAnsi="Bookman Old Style"/>
          <w:color w:val="000000"/>
        </w:rPr>
        <w:t xml:space="preserve"> </w:t>
      </w:r>
      <w:r w:rsidRPr="00BD1A8E">
        <w:rPr>
          <w:rFonts w:ascii="Bookman Old Style" w:hAnsi="Bookman Old Style"/>
          <w:color w:val="221E1F"/>
        </w:rPr>
        <w:t>also</w:t>
      </w:r>
      <w:r w:rsidRPr="00BD1A8E">
        <w:rPr>
          <w:rFonts w:ascii="Bookman Old Style" w:hAnsi="Bookman Old Style"/>
          <w:color w:val="000000"/>
        </w:rPr>
        <w:t xml:space="preserve"> </w:t>
      </w:r>
      <w:r w:rsidRPr="00BD1A8E">
        <w:rPr>
          <w:rFonts w:ascii="Bookman Old Style" w:hAnsi="Bookman Old Style"/>
          <w:color w:val="221E1F"/>
        </w:rPr>
        <w:t>contribute</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its</w:t>
      </w:r>
      <w:r w:rsidRPr="00BD1A8E">
        <w:rPr>
          <w:rFonts w:ascii="Bookman Old Style" w:hAnsi="Bookman Old Style"/>
          <w:color w:val="000000"/>
        </w:rPr>
        <w:t xml:space="preserve"> </w:t>
      </w:r>
      <w:r w:rsidRPr="00BD1A8E">
        <w:rPr>
          <w:rFonts w:ascii="Bookman Old Style" w:hAnsi="Bookman Old Style"/>
          <w:color w:val="221E1F"/>
        </w:rPr>
        <w:t>success,</w:t>
      </w:r>
      <w:r w:rsidRPr="00BD1A8E">
        <w:rPr>
          <w:rFonts w:ascii="Bookman Old Style" w:hAnsi="Bookman Old Style"/>
          <w:color w:val="000000"/>
        </w:rPr>
        <w:t xml:space="preserve"> </w:t>
      </w:r>
      <w:r w:rsidRPr="00BD1A8E">
        <w:rPr>
          <w:rFonts w:ascii="Bookman Old Style" w:hAnsi="Bookman Old Style"/>
          <w:color w:val="221E1F"/>
        </w:rPr>
        <w:t>as</w:t>
      </w:r>
      <w:r w:rsidRPr="00BD1A8E">
        <w:rPr>
          <w:rFonts w:ascii="Bookman Old Style" w:hAnsi="Bookman Old Style"/>
          <w:color w:val="000000"/>
        </w:rPr>
        <w:t xml:space="preserve"> </w:t>
      </w:r>
      <w:r w:rsidRPr="00BD1A8E">
        <w:rPr>
          <w:rFonts w:ascii="Bookman Old Style" w:hAnsi="Bookman Old Style"/>
          <w:color w:val="221E1F"/>
        </w:rPr>
        <w:t>reported</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55</w:t>
      </w:r>
      <w:r w:rsidRPr="00BD1A8E">
        <w:rPr>
          <w:rFonts w:ascii="Bookman Old Style" w:hAnsi="Bookman Old Style"/>
          <w:color w:val="000000"/>
        </w:rPr>
        <w:t> </w:t>
      </w:r>
      <w:r w:rsidRPr="00BD1A8E">
        <w:rPr>
          <w:rFonts w:ascii="Bookman Old Style" w:hAnsi="Bookman Old Style"/>
          <w:color w:val="221E1F"/>
        </w:rPr>
        <w:t>case</w:t>
      </w:r>
      <w:r w:rsidRPr="00BD1A8E">
        <w:rPr>
          <w:rFonts w:ascii="Bookman Old Style" w:hAnsi="Bookman Old Style"/>
          <w:color w:val="000000"/>
        </w:rPr>
        <w:t xml:space="preserve"> </w:t>
      </w:r>
      <w:r w:rsidRPr="00BD1A8E">
        <w:rPr>
          <w:rFonts w:ascii="Bookman Old Style" w:hAnsi="Bookman Old Style"/>
          <w:color w:val="221E1F"/>
        </w:rPr>
        <w:t>stories.</w:t>
      </w:r>
      <w:r w:rsidRPr="00BD1A8E">
        <w:rPr>
          <w:rFonts w:ascii="Bookman Old Style" w:hAnsi="Bookman Old Style"/>
          <w:color w:val="000000"/>
        </w:rPr>
        <w:t xml:space="preserve"> </w:t>
      </w:r>
      <w:r w:rsidRPr="00BD1A8E">
        <w:rPr>
          <w:rFonts w:ascii="Bookman Old Style" w:hAnsi="Bookman Old Style"/>
          <w:color w:val="221E1F"/>
        </w:rPr>
        <w:t>For</w:t>
      </w:r>
      <w:r w:rsidRPr="00BD1A8E">
        <w:rPr>
          <w:rFonts w:ascii="Bookman Old Style" w:hAnsi="Bookman Old Style"/>
          <w:color w:val="000000"/>
        </w:rPr>
        <w:t xml:space="preserve"> </w:t>
      </w:r>
      <w:r w:rsidRPr="00BD1A8E">
        <w:rPr>
          <w:rFonts w:ascii="Bookman Old Style" w:hAnsi="Bookman Old Style"/>
          <w:color w:val="221E1F"/>
        </w:rPr>
        <w:t>instance,</w:t>
      </w:r>
      <w:r w:rsidRPr="00BD1A8E">
        <w:rPr>
          <w:rFonts w:ascii="Bookman Old Style" w:hAnsi="Bookman Old Style"/>
          <w:color w:val="000000"/>
        </w:rPr>
        <w:t xml:space="preserve"> </w:t>
      </w:r>
      <w:r w:rsidRPr="00BD1A8E">
        <w:rPr>
          <w:rFonts w:ascii="Bookman Old Style" w:hAnsi="Bookman Old Style"/>
          <w:color w:val="221E1F"/>
        </w:rPr>
        <w:t>a</w:t>
      </w:r>
      <w:r w:rsidRPr="00BD1A8E">
        <w:rPr>
          <w:rFonts w:ascii="Bookman Old Style" w:hAnsi="Bookman Old Style"/>
          <w:color w:val="000000"/>
        </w:rPr>
        <w:t xml:space="preserve"> </w:t>
      </w:r>
      <w:r w:rsidRPr="00BD1A8E">
        <w:rPr>
          <w:rFonts w:ascii="Bookman Old Style" w:hAnsi="Bookman Old Style"/>
          <w:color w:val="221E1F"/>
        </w:rPr>
        <w:t>number</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national</w:t>
      </w:r>
      <w:r w:rsidRPr="00BD1A8E">
        <w:rPr>
          <w:rFonts w:ascii="Bookman Old Style" w:hAnsi="Bookman Old Style"/>
          <w:color w:val="000000"/>
        </w:rPr>
        <w:t xml:space="preserve"> </w:t>
      </w:r>
      <w:r w:rsidRPr="00BD1A8E">
        <w:rPr>
          <w:rFonts w:ascii="Bookman Old Style" w:hAnsi="Bookman Old Style"/>
          <w:color w:val="221E1F"/>
        </w:rPr>
        <w:t>trade</w:t>
      </w:r>
      <w:r w:rsidRPr="00BD1A8E">
        <w:rPr>
          <w:rFonts w:ascii="Bookman Old Style" w:hAnsi="Bookman Old Style"/>
          <w:color w:val="000000"/>
        </w:rPr>
        <w:t xml:space="preserve"> </w:t>
      </w:r>
      <w:r w:rsidRPr="00BD1A8E">
        <w:rPr>
          <w:rFonts w:ascii="Bookman Old Style" w:hAnsi="Bookman Old Style"/>
          <w:color w:val="221E1F"/>
        </w:rPr>
        <w:t>facilitation</w:t>
      </w:r>
      <w:r w:rsidRPr="00BD1A8E">
        <w:rPr>
          <w:rFonts w:ascii="Bookman Old Style" w:hAnsi="Bookman Old Style"/>
          <w:color w:val="000000"/>
        </w:rPr>
        <w:t xml:space="preserve"> </w:t>
      </w:r>
      <w:r w:rsidRPr="00BD1A8E">
        <w:rPr>
          <w:rFonts w:ascii="Bookman Old Style" w:hAnsi="Bookman Old Style"/>
          <w:color w:val="221E1F"/>
        </w:rPr>
        <w:t>bodies</w:t>
      </w:r>
      <w:r w:rsidRPr="00BD1A8E">
        <w:rPr>
          <w:rFonts w:ascii="Bookman Old Style" w:hAnsi="Bookman Old Style"/>
          <w:color w:val="000000"/>
        </w:rPr>
        <w:t xml:space="preserve"> </w:t>
      </w:r>
      <w:r w:rsidRPr="00BD1A8E">
        <w:rPr>
          <w:rFonts w:ascii="Bookman Old Style" w:hAnsi="Bookman Old Style"/>
          <w:color w:val="221E1F"/>
        </w:rPr>
        <w:t>have</w:t>
      </w:r>
      <w:r w:rsidRPr="00BD1A8E">
        <w:rPr>
          <w:rFonts w:ascii="Bookman Old Style" w:hAnsi="Bookman Old Style"/>
          <w:color w:val="000000"/>
        </w:rPr>
        <w:t xml:space="preserve"> </w:t>
      </w:r>
      <w:r w:rsidRPr="00BD1A8E">
        <w:rPr>
          <w:rFonts w:ascii="Bookman Old Style" w:hAnsi="Bookman Old Style"/>
          <w:color w:val="221E1F"/>
        </w:rPr>
        <w:t>adopted</w:t>
      </w:r>
      <w:r w:rsidRPr="00BD1A8E">
        <w:rPr>
          <w:rFonts w:ascii="Bookman Old Style" w:hAnsi="Bookman Old Style"/>
          <w:color w:val="000000"/>
        </w:rPr>
        <w:t xml:space="preserve"> </w:t>
      </w:r>
      <w:r w:rsidRPr="00BD1A8E">
        <w:rPr>
          <w:rFonts w:ascii="Bookman Old Style" w:hAnsi="Bookman Old Style"/>
          <w:color w:val="221E1F"/>
        </w:rPr>
        <w:t>a</w:t>
      </w:r>
      <w:r w:rsidRPr="00BD1A8E">
        <w:rPr>
          <w:rFonts w:ascii="Bookman Old Style" w:hAnsi="Bookman Old Style"/>
          <w:color w:val="000000"/>
        </w:rPr>
        <w:t xml:space="preserve"> </w:t>
      </w:r>
      <w:r w:rsidRPr="00BD1A8E">
        <w:rPr>
          <w:rFonts w:ascii="Bookman Old Style" w:hAnsi="Bookman Old Style"/>
          <w:color w:val="221E1F"/>
        </w:rPr>
        <w:t>communication</w:t>
      </w:r>
      <w:r w:rsidRPr="00BD1A8E">
        <w:rPr>
          <w:rFonts w:ascii="Bookman Old Style" w:hAnsi="Bookman Old Style"/>
          <w:color w:val="000000"/>
        </w:rPr>
        <w:t xml:space="preserve"> </w:t>
      </w:r>
      <w:r w:rsidRPr="00BD1A8E">
        <w:rPr>
          <w:rFonts w:ascii="Bookman Old Style" w:hAnsi="Bookman Old Style"/>
          <w:color w:val="221E1F"/>
        </w:rPr>
        <w:t>strategy</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share</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disseminate</w:t>
      </w:r>
      <w:r w:rsidRPr="00BD1A8E">
        <w:rPr>
          <w:rFonts w:ascii="Bookman Old Style" w:hAnsi="Bookman Old Style"/>
          <w:color w:val="000000"/>
        </w:rPr>
        <w:t xml:space="preserve"> </w:t>
      </w:r>
      <w:r w:rsidRPr="00BD1A8E">
        <w:rPr>
          <w:rFonts w:ascii="Bookman Old Style" w:hAnsi="Bookman Old Style"/>
          <w:color w:val="221E1F"/>
        </w:rPr>
        <w:t>relevant</w:t>
      </w:r>
      <w:r w:rsidRPr="00BD1A8E">
        <w:rPr>
          <w:rFonts w:ascii="Bookman Old Style" w:hAnsi="Bookman Old Style"/>
          <w:color w:val="000000"/>
        </w:rPr>
        <w:t xml:space="preserve"> </w:t>
      </w:r>
      <w:r w:rsidRPr="00BD1A8E">
        <w:rPr>
          <w:rFonts w:ascii="Bookman Old Style" w:hAnsi="Bookman Old Style"/>
          <w:color w:val="221E1F"/>
        </w:rPr>
        <w:t>information</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stakeholders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general</w:t>
      </w:r>
      <w:r w:rsidRPr="00BD1A8E">
        <w:rPr>
          <w:rFonts w:ascii="Bookman Old Style" w:hAnsi="Bookman Old Style"/>
          <w:color w:val="000000"/>
        </w:rPr>
        <w:t xml:space="preserve"> </w:t>
      </w:r>
      <w:r w:rsidRPr="00BD1A8E">
        <w:rPr>
          <w:rFonts w:ascii="Bookman Old Style" w:hAnsi="Bookman Old Style"/>
          <w:color w:val="221E1F"/>
        </w:rPr>
        <w:t>public</w:t>
      </w:r>
      <w:r w:rsidRPr="00BD1A8E">
        <w:rPr>
          <w:rFonts w:ascii="Bookman Old Style" w:hAnsi="Bookman Old Style"/>
          <w:color w:val="000000"/>
        </w:rPr>
        <w:t xml:space="preserve"> </w:t>
      </w:r>
      <w:r w:rsidRPr="00BD1A8E">
        <w:rPr>
          <w:rFonts w:ascii="Bookman Old Style" w:hAnsi="Bookman Old Style"/>
          <w:color w:val="221E1F"/>
        </w:rPr>
        <w:t>(UNCTAD,</w:t>
      </w:r>
      <w:r w:rsidRPr="00BD1A8E">
        <w:rPr>
          <w:rFonts w:ascii="Bookman Old Style" w:hAnsi="Bookman Old Style"/>
          <w:color w:val="000000"/>
        </w:rPr>
        <w:t xml:space="preserve"> </w:t>
      </w:r>
      <w:r w:rsidRPr="00BD1A8E">
        <w:rPr>
          <w:rFonts w:ascii="Bookman Old Style" w:hAnsi="Bookman Old Style"/>
          <w:color w:val="221E1F"/>
        </w:rPr>
        <w:t>2014a). Such</w:t>
      </w:r>
      <w:r w:rsidRPr="00BD1A8E">
        <w:rPr>
          <w:rFonts w:ascii="Bookman Old Style" w:hAnsi="Bookman Old Style"/>
          <w:color w:val="000000"/>
        </w:rPr>
        <w:t xml:space="preserve"> </w:t>
      </w:r>
      <w:r w:rsidRPr="00BD1A8E">
        <w:rPr>
          <w:rFonts w:ascii="Bookman Old Style" w:hAnsi="Bookman Old Style"/>
          <w:color w:val="221E1F"/>
        </w:rPr>
        <w:t>transparency</w:t>
      </w:r>
      <w:r w:rsidRPr="00BD1A8E">
        <w:rPr>
          <w:rFonts w:ascii="Bookman Old Style" w:hAnsi="Bookman Old Style"/>
          <w:color w:val="000000"/>
        </w:rPr>
        <w:t xml:space="preserve"> </w:t>
      </w:r>
      <w:r w:rsidRPr="00BD1A8E">
        <w:rPr>
          <w:rFonts w:ascii="Bookman Old Style" w:hAnsi="Bookman Old Style"/>
          <w:color w:val="221E1F"/>
        </w:rPr>
        <w:t>mechanisms</w:t>
      </w:r>
      <w:r w:rsidRPr="00BD1A8E">
        <w:rPr>
          <w:rFonts w:ascii="Bookman Old Style" w:hAnsi="Bookman Old Style"/>
          <w:color w:val="000000"/>
        </w:rPr>
        <w:t xml:space="preserve"> </w:t>
      </w:r>
      <w:r w:rsidRPr="00BD1A8E">
        <w:rPr>
          <w:rFonts w:ascii="Bookman Old Style" w:hAnsi="Bookman Old Style"/>
          <w:color w:val="221E1F"/>
        </w:rPr>
        <w:t>can</w:t>
      </w:r>
      <w:r w:rsidRPr="00BD1A8E">
        <w:rPr>
          <w:rFonts w:ascii="Bookman Old Style" w:hAnsi="Bookman Old Style"/>
          <w:color w:val="000000"/>
        </w:rPr>
        <w:t xml:space="preserve"> </w:t>
      </w:r>
      <w:r w:rsidRPr="00BD1A8E">
        <w:rPr>
          <w:rFonts w:ascii="Bookman Old Style" w:hAnsi="Bookman Old Style"/>
          <w:color w:val="221E1F"/>
        </w:rPr>
        <w:t>often</w:t>
      </w:r>
      <w:r w:rsidRPr="00BD1A8E">
        <w:rPr>
          <w:rFonts w:ascii="Bookman Old Style" w:hAnsi="Bookman Old Style"/>
          <w:color w:val="000000"/>
        </w:rPr>
        <w:t xml:space="preserve"> </w:t>
      </w:r>
      <w:r w:rsidRPr="00BD1A8E">
        <w:rPr>
          <w:rFonts w:ascii="Bookman Old Style" w:hAnsi="Bookman Old Style"/>
          <w:color w:val="221E1F"/>
        </w:rPr>
        <w:t>foster</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trust</w:t>
      </w:r>
      <w:r w:rsidRPr="00BD1A8E">
        <w:rPr>
          <w:rFonts w:ascii="Bookman Old Style" w:hAnsi="Bookman Old Style"/>
          <w:color w:val="000000"/>
        </w:rPr>
        <w:t xml:space="preserve"> </w:t>
      </w:r>
      <w:r w:rsidRPr="00BD1A8E">
        <w:rPr>
          <w:rFonts w:ascii="Bookman Old Style" w:hAnsi="Bookman Old Style"/>
          <w:color w:val="221E1F"/>
        </w:rPr>
        <w:t>necessary</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convince</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obtain</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support,</w:t>
      </w:r>
      <w:r w:rsidRPr="00BD1A8E">
        <w:rPr>
          <w:rFonts w:ascii="Bookman Old Style" w:hAnsi="Bookman Old Style"/>
          <w:color w:val="000000"/>
        </w:rPr>
        <w:t xml:space="preserve"> </w:t>
      </w:r>
      <w:r w:rsidRPr="00BD1A8E">
        <w:rPr>
          <w:rFonts w:ascii="Bookman Old Style" w:hAnsi="Bookman Old Style"/>
          <w:color w:val="221E1F"/>
        </w:rPr>
        <w:t>participation</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ownership</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all</w:t>
      </w:r>
      <w:r w:rsidRPr="00BD1A8E">
        <w:rPr>
          <w:rFonts w:ascii="Bookman Old Style" w:hAnsi="Bookman Old Style"/>
          <w:color w:val="000000"/>
        </w:rPr>
        <w:t xml:space="preserve"> </w:t>
      </w:r>
      <w:r w:rsidRPr="00BD1A8E">
        <w:rPr>
          <w:rFonts w:ascii="Bookman Old Style" w:hAnsi="Bookman Old Style"/>
          <w:color w:val="221E1F"/>
        </w:rPr>
        <w:t>relevant</w:t>
      </w:r>
      <w:r w:rsidRPr="00BD1A8E">
        <w:rPr>
          <w:rFonts w:ascii="Bookman Old Style" w:hAnsi="Bookman Old Style"/>
          <w:color w:val="000000"/>
        </w:rPr>
        <w:t xml:space="preserve"> </w:t>
      </w:r>
      <w:r w:rsidRPr="00BD1A8E">
        <w:rPr>
          <w:rFonts w:ascii="Bookman Old Style" w:hAnsi="Bookman Old Style"/>
          <w:color w:val="221E1F"/>
        </w:rPr>
        <w:t>stakeholders.</w:t>
      </w:r>
      <w:r w:rsidRPr="00BD1A8E">
        <w:rPr>
          <w:rFonts w:ascii="Bookman Old Style" w:hAnsi="Bookman Old Style"/>
          <w:color w:val="000000"/>
        </w:rPr>
        <w:t xml:space="preserve"> </w:t>
      </w:r>
      <w:r w:rsidRPr="00BD1A8E">
        <w:rPr>
          <w:rFonts w:ascii="Bookman Old Style" w:hAnsi="Bookman Old Style"/>
          <w:color w:val="221E1F"/>
        </w:rPr>
        <w:t>A</w:t>
      </w:r>
      <w:r w:rsidRPr="00BD1A8E">
        <w:rPr>
          <w:rFonts w:ascii="Bookman Old Style" w:hAnsi="Bookman Old Style"/>
          <w:color w:val="000000"/>
        </w:rPr>
        <w:t xml:space="preserve"> </w:t>
      </w:r>
      <w:r w:rsidRPr="00BD1A8E">
        <w:rPr>
          <w:rFonts w:ascii="Bookman Old Style" w:hAnsi="Bookman Old Style"/>
          <w:color w:val="221E1F"/>
        </w:rPr>
        <w:t>number</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case</w:t>
      </w:r>
      <w:r w:rsidRPr="00BD1A8E">
        <w:rPr>
          <w:rFonts w:ascii="Bookman Old Style" w:hAnsi="Bookman Old Style"/>
          <w:color w:val="000000"/>
        </w:rPr>
        <w:t xml:space="preserve"> </w:t>
      </w:r>
      <w:r w:rsidRPr="00BD1A8E">
        <w:rPr>
          <w:rFonts w:ascii="Bookman Old Style" w:hAnsi="Bookman Old Style"/>
          <w:color w:val="221E1F"/>
        </w:rPr>
        <w:t>stories</w:t>
      </w:r>
      <w:r w:rsidRPr="00BD1A8E">
        <w:rPr>
          <w:rFonts w:ascii="Bookman Old Style" w:hAnsi="Bookman Old Style"/>
          <w:color w:val="000000"/>
        </w:rPr>
        <w:t xml:space="preserve"> </w:t>
      </w:r>
      <w:r w:rsidRPr="00BD1A8E">
        <w:rPr>
          <w:rFonts w:ascii="Bookman Old Style" w:hAnsi="Bookman Old Style"/>
          <w:color w:val="221E1F"/>
        </w:rPr>
        <w:t>further</w:t>
      </w:r>
      <w:r w:rsidRPr="00BD1A8E">
        <w:rPr>
          <w:rFonts w:ascii="Bookman Old Style" w:hAnsi="Bookman Old Style"/>
          <w:color w:val="000000"/>
        </w:rPr>
        <w:t xml:space="preserve"> </w:t>
      </w:r>
      <w:r w:rsidRPr="00BD1A8E">
        <w:rPr>
          <w:rFonts w:ascii="Bookman Old Style" w:hAnsi="Bookman Old Style"/>
          <w:color w:val="221E1F"/>
        </w:rPr>
        <w:t>underscore</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usefulness</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raising</w:t>
      </w:r>
      <w:r w:rsidRPr="00BD1A8E">
        <w:rPr>
          <w:rFonts w:ascii="Bookman Old Style" w:hAnsi="Bookman Old Style"/>
          <w:color w:val="000000"/>
        </w:rPr>
        <w:t xml:space="preserve"> </w:t>
      </w:r>
      <w:r w:rsidRPr="00BD1A8E">
        <w:rPr>
          <w:rFonts w:ascii="Bookman Old Style" w:hAnsi="Bookman Old Style"/>
          <w:color w:val="221E1F"/>
        </w:rPr>
        <w:t>awareness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promoting</w:t>
      </w:r>
      <w:r w:rsidRPr="00BD1A8E">
        <w:rPr>
          <w:rFonts w:ascii="Bookman Old Style" w:hAnsi="Bookman Old Style"/>
          <w:color w:val="000000"/>
        </w:rPr>
        <w:t xml:space="preserve"> </w:t>
      </w:r>
      <w:r w:rsidRPr="00BD1A8E">
        <w:rPr>
          <w:rFonts w:ascii="Bookman Old Style" w:hAnsi="Bookman Old Style"/>
          <w:color w:val="221E1F"/>
        </w:rPr>
        <w:t>trade</w:t>
      </w:r>
      <w:r w:rsidRPr="00BD1A8E">
        <w:rPr>
          <w:rFonts w:ascii="Bookman Old Style" w:hAnsi="Bookman Old Style"/>
          <w:color w:val="000000"/>
        </w:rPr>
        <w:t xml:space="preserve"> </w:t>
      </w:r>
      <w:r w:rsidRPr="00BD1A8E">
        <w:rPr>
          <w:rFonts w:ascii="Bookman Old Style" w:hAnsi="Bookman Old Style"/>
          <w:color w:val="221E1F"/>
        </w:rPr>
        <w:t>facilitation</w:t>
      </w:r>
      <w:r w:rsidRPr="00BD1A8E">
        <w:rPr>
          <w:rFonts w:ascii="Bookman Old Style" w:hAnsi="Bookman Old Style"/>
          <w:color w:val="000000"/>
        </w:rPr>
        <w:t xml:space="preserve"> </w:t>
      </w:r>
      <w:r w:rsidRPr="00BD1A8E">
        <w:rPr>
          <w:rFonts w:ascii="Bookman Old Style" w:hAnsi="Bookman Old Style"/>
          <w:color w:val="221E1F"/>
        </w:rPr>
        <w:t>initiatives</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order</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sustain</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momentum</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gain</w:t>
      </w:r>
      <w:r w:rsidRPr="00BD1A8E">
        <w:rPr>
          <w:rFonts w:ascii="Bookman Old Style" w:hAnsi="Bookman Old Style"/>
          <w:color w:val="000000"/>
        </w:rPr>
        <w:t xml:space="preserve"> </w:t>
      </w:r>
      <w:r w:rsidRPr="00BD1A8E">
        <w:rPr>
          <w:rFonts w:ascii="Bookman Old Style" w:hAnsi="Bookman Old Style"/>
          <w:color w:val="221E1F"/>
        </w:rPr>
        <w:t>greater</w:t>
      </w:r>
      <w:r w:rsidRPr="00BD1A8E">
        <w:rPr>
          <w:rFonts w:ascii="Bookman Old Style" w:hAnsi="Bookman Old Style"/>
          <w:color w:val="000000"/>
        </w:rPr>
        <w:t xml:space="preserve"> </w:t>
      </w:r>
      <w:r w:rsidRPr="00BD1A8E">
        <w:rPr>
          <w:rFonts w:ascii="Bookman Old Style" w:hAnsi="Bookman Old Style"/>
          <w:color w:val="221E1F"/>
        </w:rPr>
        <w:t>support</w:t>
      </w:r>
      <w:r w:rsidRPr="00BD1A8E">
        <w:rPr>
          <w:rFonts w:ascii="Bookman Old Style" w:hAnsi="Bookman Old Style"/>
          <w:color w:val="000000"/>
        </w:rPr>
        <w:t xml:space="preserve"> </w:t>
      </w:r>
      <w:r w:rsidRPr="00BD1A8E">
        <w:rPr>
          <w:rFonts w:ascii="Bookman Old Style" w:hAnsi="Bookman Old Style"/>
          <w:color w:val="221E1F"/>
        </w:rPr>
        <w:t>among</w:t>
      </w:r>
      <w:r w:rsidRPr="00BD1A8E">
        <w:rPr>
          <w:rFonts w:ascii="Bookman Old Style" w:hAnsi="Bookman Old Style"/>
          <w:color w:val="000000"/>
        </w:rPr>
        <w:t xml:space="preserve"> </w:t>
      </w:r>
      <w:r w:rsidRPr="00BD1A8E">
        <w:rPr>
          <w:rFonts w:ascii="Bookman Old Style" w:hAnsi="Bookman Old Style"/>
          <w:color w:val="221E1F"/>
        </w:rPr>
        <w:t>all</w:t>
      </w:r>
      <w:r w:rsidRPr="00BD1A8E">
        <w:rPr>
          <w:rFonts w:ascii="Bookman Old Style" w:hAnsi="Bookman Old Style"/>
          <w:color w:val="000000"/>
        </w:rPr>
        <w:t xml:space="preserve"> </w:t>
      </w:r>
      <w:r w:rsidRPr="00BD1A8E">
        <w:rPr>
          <w:rFonts w:ascii="Bookman Old Style" w:hAnsi="Bookman Old Style"/>
          <w:color w:val="221E1F"/>
        </w:rPr>
        <w:t>stakeholders.</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this</w:t>
      </w:r>
      <w:r w:rsidRPr="00BD1A8E">
        <w:rPr>
          <w:rFonts w:ascii="Bookman Old Style" w:hAnsi="Bookman Old Style"/>
          <w:color w:val="000000"/>
        </w:rPr>
        <w:t xml:space="preserve"> </w:t>
      </w:r>
      <w:r w:rsidRPr="00BD1A8E">
        <w:rPr>
          <w:rFonts w:ascii="Bookman Old Style" w:hAnsi="Bookman Old Style"/>
          <w:color w:val="221E1F"/>
        </w:rPr>
        <w:t>regard,</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as</w:t>
      </w:r>
      <w:r w:rsidRPr="00BD1A8E">
        <w:rPr>
          <w:rFonts w:ascii="Bookman Old Style" w:hAnsi="Bookman Old Style"/>
          <w:color w:val="000000"/>
        </w:rPr>
        <w:t xml:space="preserve"> </w:t>
      </w:r>
      <w:r w:rsidRPr="00BD1A8E">
        <w:rPr>
          <w:rFonts w:ascii="Bookman Old Style" w:hAnsi="Bookman Old Style"/>
          <w:color w:val="221E1F"/>
        </w:rPr>
        <w:t>mentioned</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43</w:t>
      </w:r>
      <w:r w:rsidRPr="00BD1A8E">
        <w:rPr>
          <w:rFonts w:ascii="Bookman Old Style" w:hAnsi="Bookman Old Style"/>
          <w:color w:val="000000"/>
        </w:rPr>
        <w:t xml:space="preserve"> </w:t>
      </w:r>
      <w:r w:rsidRPr="00BD1A8E">
        <w:rPr>
          <w:rFonts w:ascii="Bookman Old Style" w:hAnsi="Bookman Old Style"/>
          <w:color w:val="221E1F"/>
        </w:rPr>
        <w:t>case</w:t>
      </w:r>
      <w:r w:rsidRPr="00BD1A8E">
        <w:rPr>
          <w:rFonts w:ascii="Bookman Old Style" w:hAnsi="Bookman Old Style"/>
          <w:color w:val="000000"/>
        </w:rPr>
        <w:t xml:space="preserve"> </w:t>
      </w:r>
      <w:r w:rsidRPr="00BD1A8E">
        <w:rPr>
          <w:rFonts w:ascii="Bookman Old Style" w:hAnsi="Bookman Old Style"/>
          <w:color w:val="221E1F"/>
        </w:rPr>
        <w:t>stories,</w:t>
      </w:r>
      <w:r w:rsidRPr="00BD1A8E">
        <w:rPr>
          <w:rFonts w:ascii="Bookman Old Style" w:hAnsi="Bookman Old Style"/>
          <w:color w:val="000000"/>
        </w:rPr>
        <w:t xml:space="preserve"> </w:t>
      </w:r>
      <w:r w:rsidRPr="00BD1A8E">
        <w:rPr>
          <w:rFonts w:ascii="Bookman Old Style" w:hAnsi="Bookman Old Style"/>
          <w:color w:val="221E1F"/>
        </w:rPr>
        <w:t>monitoring,</w:t>
      </w:r>
      <w:r w:rsidRPr="00BD1A8E">
        <w:rPr>
          <w:rFonts w:ascii="Bookman Old Style" w:hAnsi="Bookman Old Style"/>
          <w:color w:val="000000"/>
        </w:rPr>
        <w:t xml:space="preserve"> </w:t>
      </w:r>
      <w:r w:rsidRPr="00BD1A8E">
        <w:rPr>
          <w:rFonts w:ascii="Bookman Old Style" w:hAnsi="Bookman Old Style"/>
          <w:color w:val="221E1F"/>
        </w:rPr>
        <w:t>reporting</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evaluating</w:t>
      </w:r>
      <w:r w:rsidRPr="00BD1A8E">
        <w:rPr>
          <w:rFonts w:ascii="Bookman Old Style" w:hAnsi="Bookman Old Style"/>
          <w:color w:val="000000"/>
        </w:rPr>
        <w:t xml:space="preserve"> </w:t>
      </w:r>
      <w:r w:rsidRPr="00BD1A8E">
        <w:rPr>
          <w:rFonts w:ascii="Bookman Old Style" w:hAnsi="Bookman Old Style"/>
          <w:color w:val="221E1F"/>
        </w:rPr>
        <w:t>trade</w:t>
      </w:r>
      <w:r w:rsidRPr="00BD1A8E">
        <w:rPr>
          <w:rFonts w:ascii="Bookman Old Style" w:hAnsi="Bookman Old Style"/>
          <w:color w:val="000000"/>
        </w:rPr>
        <w:t xml:space="preserve"> </w:t>
      </w:r>
      <w:r w:rsidRPr="00BD1A8E">
        <w:rPr>
          <w:rFonts w:ascii="Bookman Old Style" w:hAnsi="Bookman Old Style"/>
          <w:color w:val="221E1F"/>
        </w:rPr>
        <w:t>facilitation</w:t>
      </w:r>
      <w:r w:rsidRPr="00BD1A8E">
        <w:rPr>
          <w:rFonts w:ascii="Bookman Old Style" w:hAnsi="Bookman Old Style"/>
          <w:color w:val="000000"/>
        </w:rPr>
        <w:t xml:space="preserve"> </w:t>
      </w:r>
      <w:r w:rsidRPr="00BD1A8E">
        <w:rPr>
          <w:rFonts w:ascii="Bookman Old Style" w:hAnsi="Bookman Old Style"/>
          <w:color w:val="221E1F"/>
        </w:rPr>
        <w:t>initiatives</w:t>
      </w:r>
      <w:r w:rsidRPr="00BD1A8E">
        <w:rPr>
          <w:rFonts w:ascii="Bookman Old Style" w:hAnsi="Bookman Old Style"/>
          <w:color w:val="000000"/>
        </w:rPr>
        <w:t xml:space="preserve"> </w:t>
      </w:r>
      <w:r w:rsidRPr="00BD1A8E">
        <w:rPr>
          <w:rFonts w:ascii="Bookman Old Style" w:hAnsi="Bookman Old Style"/>
          <w:color w:val="221E1F"/>
        </w:rPr>
        <w:t>can</w:t>
      </w:r>
      <w:r w:rsidRPr="00BD1A8E">
        <w:rPr>
          <w:rFonts w:ascii="Bookman Old Style" w:hAnsi="Bookman Old Style"/>
          <w:color w:val="000000"/>
        </w:rPr>
        <w:t xml:space="preserve"> </w:t>
      </w:r>
      <w:r w:rsidRPr="00BD1A8E">
        <w:rPr>
          <w:rFonts w:ascii="Bookman Old Style" w:hAnsi="Bookman Old Style"/>
          <w:color w:val="221E1F"/>
        </w:rPr>
        <w:t>be</w:t>
      </w:r>
      <w:r w:rsidRPr="00BD1A8E">
        <w:rPr>
          <w:rFonts w:ascii="Bookman Old Style" w:hAnsi="Bookman Old Style"/>
          <w:color w:val="000000"/>
        </w:rPr>
        <w:t xml:space="preserve"> </w:t>
      </w:r>
      <w:r w:rsidRPr="00BD1A8E">
        <w:rPr>
          <w:rFonts w:ascii="Bookman Old Style" w:hAnsi="Bookman Old Style"/>
          <w:color w:val="221E1F"/>
        </w:rPr>
        <w:t>an</w:t>
      </w:r>
      <w:r w:rsidRPr="00BD1A8E">
        <w:rPr>
          <w:rFonts w:ascii="Bookman Old Style" w:hAnsi="Bookman Old Style"/>
          <w:color w:val="000000"/>
        </w:rPr>
        <w:t xml:space="preserve"> </w:t>
      </w:r>
      <w:r w:rsidRPr="00BD1A8E">
        <w:rPr>
          <w:rFonts w:ascii="Bookman Old Style" w:hAnsi="Bookman Old Style"/>
          <w:color w:val="221E1F"/>
        </w:rPr>
        <w:t>important</w:t>
      </w:r>
      <w:r w:rsidRPr="00BD1A8E">
        <w:rPr>
          <w:rFonts w:ascii="Bookman Old Style" w:hAnsi="Bookman Old Style"/>
          <w:color w:val="000000"/>
        </w:rPr>
        <w:t xml:space="preserve"> </w:t>
      </w:r>
      <w:r w:rsidRPr="00BD1A8E">
        <w:rPr>
          <w:rFonts w:ascii="Bookman Old Style" w:hAnsi="Bookman Old Style"/>
          <w:color w:val="221E1F"/>
        </w:rPr>
        <w:t>success</w:t>
      </w:r>
      <w:r w:rsidRPr="00BD1A8E">
        <w:rPr>
          <w:rFonts w:ascii="Bookman Old Style" w:hAnsi="Bookman Old Style"/>
          <w:color w:val="000000"/>
        </w:rPr>
        <w:t xml:space="preserve"> </w:t>
      </w:r>
      <w:r w:rsidRPr="00BD1A8E">
        <w:rPr>
          <w:rFonts w:ascii="Bookman Old Style" w:hAnsi="Bookman Old Style"/>
          <w:color w:val="221E1F"/>
        </w:rPr>
        <w:t>factor</w:t>
      </w:r>
      <w:r w:rsidRPr="00BD1A8E">
        <w:rPr>
          <w:rFonts w:ascii="Bookman Old Style" w:hAnsi="Bookman Old Style"/>
          <w:color w:val="000000"/>
        </w:rPr>
        <w:t xml:space="preserve"> </w:t>
      </w:r>
      <w:r w:rsidRPr="00BD1A8E">
        <w:rPr>
          <w:rFonts w:ascii="Bookman Old Style" w:hAnsi="Bookman Old Style"/>
          <w:color w:val="221E1F"/>
        </w:rPr>
        <w:t>by</w:t>
      </w:r>
      <w:r w:rsidRPr="00BD1A8E">
        <w:rPr>
          <w:rFonts w:ascii="Bookman Old Style" w:hAnsi="Bookman Old Style"/>
          <w:color w:val="000000"/>
        </w:rPr>
        <w:t xml:space="preserve"> </w:t>
      </w:r>
      <w:r w:rsidRPr="00BD1A8E">
        <w:rPr>
          <w:rFonts w:ascii="Bookman Old Style" w:hAnsi="Bookman Old Style"/>
          <w:color w:val="221E1F"/>
        </w:rPr>
        <w:t>keeping</w:t>
      </w:r>
      <w:r w:rsidRPr="00BD1A8E">
        <w:rPr>
          <w:rFonts w:ascii="Bookman Old Style" w:hAnsi="Bookman Old Style"/>
          <w:color w:val="000000"/>
        </w:rPr>
        <w:t xml:space="preserve"> </w:t>
      </w:r>
      <w:r w:rsidRPr="00BD1A8E">
        <w:rPr>
          <w:rFonts w:ascii="Bookman Old Style" w:hAnsi="Bookman Old Style"/>
          <w:color w:val="221E1F"/>
        </w:rPr>
        <w:t>stakeholders</w:t>
      </w:r>
      <w:r w:rsidRPr="00BD1A8E">
        <w:rPr>
          <w:rFonts w:ascii="Bookman Old Style" w:hAnsi="Bookman Old Style"/>
          <w:color w:val="000000"/>
        </w:rPr>
        <w:t xml:space="preserve"> </w:t>
      </w:r>
      <w:r w:rsidRPr="00BD1A8E">
        <w:rPr>
          <w:rFonts w:ascii="Bookman Old Style" w:hAnsi="Bookman Old Style"/>
          <w:color w:val="221E1F"/>
        </w:rPr>
        <w:t>informed</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results</w:t>
      </w:r>
      <w:r w:rsidRPr="00BD1A8E">
        <w:rPr>
          <w:rFonts w:ascii="Bookman Old Style" w:hAnsi="Bookman Old Style"/>
          <w:color w:val="000000"/>
        </w:rPr>
        <w:t xml:space="preserve"> </w:t>
      </w:r>
      <w:r w:rsidRPr="00BD1A8E">
        <w:rPr>
          <w:rFonts w:ascii="Bookman Old Style" w:hAnsi="Bookman Old Style"/>
          <w:color w:val="221E1F"/>
        </w:rPr>
        <w:t>achieved,</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whether</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initiative</w:t>
      </w:r>
      <w:r w:rsidRPr="00BD1A8E">
        <w:rPr>
          <w:rFonts w:ascii="Bookman Old Style" w:hAnsi="Bookman Old Style"/>
          <w:color w:val="000000"/>
        </w:rPr>
        <w:t xml:space="preserve"> </w:t>
      </w:r>
      <w:r w:rsidRPr="00BD1A8E">
        <w:rPr>
          <w:rFonts w:ascii="Bookman Old Style" w:hAnsi="Bookman Old Style"/>
          <w:color w:val="221E1F"/>
        </w:rPr>
        <w:t>is</w:t>
      </w:r>
      <w:r w:rsidRPr="00BD1A8E">
        <w:rPr>
          <w:rFonts w:ascii="Bookman Old Style" w:hAnsi="Bookman Old Style"/>
          <w:color w:val="000000"/>
        </w:rPr>
        <w:t xml:space="preserve"> </w:t>
      </w:r>
      <w:r w:rsidRPr="00BD1A8E">
        <w:rPr>
          <w:rFonts w:ascii="Bookman Old Style" w:hAnsi="Bookman Old Style"/>
          <w:color w:val="221E1F"/>
        </w:rPr>
        <w:t>on</w:t>
      </w:r>
      <w:r w:rsidRPr="00BD1A8E">
        <w:rPr>
          <w:rFonts w:ascii="Bookman Old Style" w:hAnsi="Bookman Old Style"/>
          <w:color w:val="000000"/>
        </w:rPr>
        <w:t xml:space="preserve"> </w:t>
      </w:r>
      <w:r w:rsidRPr="00BD1A8E">
        <w:rPr>
          <w:rFonts w:ascii="Bookman Old Style" w:hAnsi="Bookman Old Style"/>
          <w:color w:val="221E1F"/>
        </w:rPr>
        <w:t>track</w:t>
      </w:r>
      <w:r w:rsidRPr="00BD1A8E">
        <w:rPr>
          <w:rFonts w:ascii="Bookman Old Style" w:hAnsi="Bookman Old Style"/>
          <w:color w:val="000000"/>
        </w:rPr>
        <w:t xml:space="preserve"> </w:t>
      </w:r>
      <w:r w:rsidRPr="00BD1A8E">
        <w:rPr>
          <w:rFonts w:ascii="Bookman Old Style" w:hAnsi="Bookman Old Style"/>
          <w:color w:val="221E1F"/>
        </w:rPr>
        <w:t>or</w:t>
      </w:r>
      <w:r w:rsidRPr="00BD1A8E">
        <w:rPr>
          <w:rFonts w:ascii="Bookman Old Style" w:hAnsi="Bookman Old Style"/>
          <w:color w:val="000000"/>
        </w:rPr>
        <w:t xml:space="preserve"> </w:t>
      </w:r>
      <w:r w:rsidRPr="00BD1A8E">
        <w:rPr>
          <w:rFonts w:ascii="Bookman Old Style" w:hAnsi="Bookman Old Style"/>
          <w:color w:val="221E1F"/>
        </w:rPr>
        <w:t>needs</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be</w:t>
      </w:r>
      <w:r w:rsidRPr="00BD1A8E">
        <w:rPr>
          <w:rFonts w:ascii="Bookman Old Style" w:hAnsi="Bookman Old Style"/>
          <w:color w:val="000000"/>
        </w:rPr>
        <w:t xml:space="preserve"> </w:t>
      </w:r>
      <w:r w:rsidRPr="00BD1A8E">
        <w:rPr>
          <w:rFonts w:ascii="Bookman Old Style" w:hAnsi="Bookman Old Style"/>
          <w:color w:val="221E1F"/>
        </w:rPr>
        <w:t>adjusted.</w:t>
      </w:r>
      <w:r w:rsidRPr="00BD1A8E">
        <w:rPr>
          <w:rFonts w:ascii="Bookman Old Style" w:hAnsi="Bookman Old Style"/>
          <w:color w:val="000000"/>
        </w:rPr>
        <w:t xml:space="preserve"> </w:t>
      </w:r>
      <w:r w:rsidRPr="00BD1A8E">
        <w:rPr>
          <w:rFonts w:ascii="Bookman Old Style" w:hAnsi="Bookman Old Style"/>
          <w:color w:val="221E1F"/>
        </w:rPr>
        <w:t>An</w:t>
      </w:r>
      <w:r w:rsidRPr="00BD1A8E">
        <w:rPr>
          <w:rFonts w:ascii="Bookman Old Style" w:hAnsi="Bookman Old Style"/>
          <w:color w:val="000000"/>
        </w:rPr>
        <w:t xml:space="preserve"> </w:t>
      </w:r>
      <w:r w:rsidRPr="00BD1A8E">
        <w:rPr>
          <w:rFonts w:ascii="Bookman Old Style" w:hAnsi="Bookman Old Style"/>
          <w:color w:val="221E1F"/>
        </w:rPr>
        <w:t>efficient</w:t>
      </w:r>
      <w:r w:rsidRPr="00BD1A8E">
        <w:rPr>
          <w:rFonts w:ascii="Bookman Old Style" w:hAnsi="Bookman Old Style"/>
          <w:color w:val="000000"/>
        </w:rPr>
        <w:t xml:space="preserve"> </w:t>
      </w:r>
      <w:r w:rsidRPr="00BD1A8E">
        <w:rPr>
          <w:rFonts w:ascii="Bookman Old Style" w:hAnsi="Bookman Old Style"/>
          <w:color w:val="221E1F"/>
        </w:rPr>
        <w:t>monitoring</w:t>
      </w:r>
      <w:r w:rsidRPr="00BD1A8E">
        <w:rPr>
          <w:rFonts w:ascii="Bookman Old Style" w:hAnsi="Bookman Old Style"/>
          <w:color w:val="000000"/>
        </w:rPr>
        <w:t xml:space="preserve"> </w:t>
      </w:r>
      <w:r w:rsidRPr="00BD1A8E">
        <w:rPr>
          <w:rFonts w:ascii="Bookman Old Style" w:hAnsi="Bookman Old Style"/>
          <w:color w:val="221E1F"/>
        </w:rPr>
        <w:t>mechanism</w:t>
      </w:r>
      <w:r w:rsidRPr="00BD1A8E">
        <w:rPr>
          <w:rFonts w:ascii="Bookman Old Style" w:hAnsi="Bookman Old Style"/>
          <w:color w:val="000000"/>
        </w:rPr>
        <w:t xml:space="preserve"> </w:t>
      </w:r>
      <w:r w:rsidRPr="00BD1A8E">
        <w:rPr>
          <w:rFonts w:ascii="Bookman Old Style" w:hAnsi="Bookman Old Style"/>
          <w:color w:val="221E1F"/>
        </w:rPr>
        <w:t>often</w:t>
      </w:r>
      <w:r w:rsidRPr="00BD1A8E">
        <w:rPr>
          <w:rFonts w:ascii="Bookman Old Style" w:hAnsi="Bookman Old Style"/>
          <w:color w:val="000000"/>
        </w:rPr>
        <w:t xml:space="preserve"> </w:t>
      </w:r>
      <w:r w:rsidRPr="00BD1A8E">
        <w:rPr>
          <w:rFonts w:ascii="Bookman Old Style" w:hAnsi="Bookman Old Style"/>
          <w:color w:val="221E1F"/>
        </w:rPr>
        <w:t>starts</w:t>
      </w:r>
      <w:r w:rsidRPr="00BD1A8E">
        <w:rPr>
          <w:rFonts w:ascii="Bookman Old Style" w:hAnsi="Bookman Old Style"/>
          <w:color w:val="000000"/>
        </w:rPr>
        <w:t xml:space="preserve"> </w:t>
      </w:r>
      <w:r w:rsidRPr="00BD1A8E">
        <w:rPr>
          <w:rFonts w:ascii="Bookman Old Style" w:hAnsi="Bookman Old Style"/>
          <w:color w:val="221E1F"/>
        </w:rPr>
        <w:t>with</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establishment</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clear</w:t>
      </w:r>
      <w:r w:rsidRPr="00BD1A8E">
        <w:rPr>
          <w:rFonts w:ascii="Bookman Old Style" w:hAnsi="Bookman Old Style"/>
          <w:color w:val="000000"/>
        </w:rPr>
        <w:t xml:space="preserve"> </w:t>
      </w:r>
      <w:r w:rsidRPr="00BD1A8E">
        <w:rPr>
          <w:rFonts w:ascii="Bookman Old Style" w:hAnsi="Bookman Old Style"/>
          <w:color w:val="221E1F"/>
        </w:rPr>
        <w:t>performance</w:t>
      </w:r>
      <w:r w:rsidRPr="00BD1A8E">
        <w:rPr>
          <w:rFonts w:ascii="Bookman Old Style" w:hAnsi="Bookman Old Style"/>
          <w:color w:val="000000"/>
        </w:rPr>
        <w:t xml:space="preserve"> </w:t>
      </w:r>
      <w:r w:rsidRPr="00BD1A8E">
        <w:rPr>
          <w:rFonts w:ascii="Bookman Old Style" w:hAnsi="Bookman Old Style"/>
          <w:color w:val="221E1F"/>
        </w:rPr>
        <w:t>indicators</w:t>
      </w:r>
      <w:r w:rsidRPr="00BD1A8E">
        <w:rPr>
          <w:rFonts w:ascii="Bookman Old Style" w:hAnsi="Bookman Old Style"/>
          <w:color w:val="000000"/>
        </w:rPr>
        <w:t xml:space="preserve"> </w:t>
      </w:r>
      <w:r w:rsidRPr="00BD1A8E">
        <w:rPr>
          <w:rFonts w:ascii="Bookman Old Style" w:hAnsi="Bookman Old Style"/>
          <w:color w:val="221E1F"/>
        </w:rPr>
        <w:t>(World Bank,</w:t>
      </w:r>
      <w:r w:rsidRPr="00BD1A8E">
        <w:rPr>
          <w:rFonts w:ascii="Bookman Old Style" w:hAnsi="Bookman Old Style"/>
          <w:color w:val="000000"/>
        </w:rPr>
        <w:t xml:space="preserve"> </w:t>
      </w:r>
      <w:r w:rsidRPr="00BD1A8E">
        <w:rPr>
          <w:rFonts w:ascii="Bookman Old Style" w:hAnsi="Bookman Old Style"/>
          <w:color w:val="221E1F"/>
        </w:rPr>
        <w:t>2006b).</w:t>
      </w:r>
      <w:r w:rsidRPr="00BD1A8E">
        <w:rPr>
          <w:rFonts w:ascii="Bookman Old Style" w:hAnsi="Bookman Old Style"/>
          <w:color w:val="000000"/>
        </w:rPr>
        <w:t xml:space="preserve"> </w:t>
      </w:r>
      <w:r w:rsidRPr="00BD1A8E">
        <w:rPr>
          <w:rFonts w:ascii="Bookman Old Style" w:hAnsi="Bookman Old Style"/>
          <w:color w:val="221E1F"/>
        </w:rPr>
        <w:t>Monitoring</w:t>
      </w:r>
      <w:r w:rsidRPr="00BD1A8E">
        <w:rPr>
          <w:rFonts w:ascii="Bookman Old Style" w:hAnsi="Bookman Old Style"/>
          <w:color w:val="000000"/>
        </w:rPr>
        <w:t xml:space="preserve"> </w:t>
      </w:r>
      <w:r w:rsidRPr="00BD1A8E">
        <w:rPr>
          <w:rFonts w:ascii="Bookman Old Style" w:hAnsi="Bookman Old Style"/>
          <w:color w:val="221E1F"/>
        </w:rPr>
        <w:t>can</w:t>
      </w:r>
      <w:r w:rsidRPr="00BD1A8E">
        <w:rPr>
          <w:rFonts w:ascii="Bookman Old Style" w:hAnsi="Bookman Old Style"/>
          <w:color w:val="000000"/>
        </w:rPr>
        <w:t xml:space="preserve"> </w:t>
      </w:r>
      <w:r w:rsidRPr="00BD1A8E">
        <w:rPr>
          <w:rFonts w:ascii="Bookman Old Style" w:hAnsi="Bookman Old Style"/>
          <w:color w:val="221E1F"/>
        </w:rPr>
        <w:t>also</w:t>
      </w:r>
      <w:r w:rsidRPr="00BD1A8E">
        <w:rPr>
          <w:rFonts w:ascii="Bookman Old Style" w:hAnsi="Bookman Old Style"/>
          <w:color w:val="000000"/>
        </w:rPr>
        <w:t xml:space="preserve"> </w:t>
      </w:r>
      <w:r w:rsidRPr="00BD1A8E">
        <w:rPr>
          <w:rFonts w:ascii="Bookman Old Style" w:hAnsi="Bookman Old Style"/>
          <w:color w:val="221E1F"/>
        </w:rPr>
        <w:t>be</w:t>
      </w:r>
      <w:r w:rsidRPr="00BD1A8E">
        <w:rPr>
          <w:rFonts w:ascii="Bookman Old Style" w:hAnsi="Bookman Old Style"/>
          <w:color w:val="000000"/>
        </w:rPr>
        <w:t xml:space="preserve"> </w:t>
      </w:r>
      <w:r w:rsidRPr="00BD1A8E">
        <w:rPr>
          <w:rFonts w:ascii="Bookman Old Style" w:hAnsi="Bookman Old Style"/>
          <w:color w:val="221E1F"/>
        </w:rPr>
        <w:t>essential</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secure</w:t>
      </w:r>
      <w:r w:rsidRPr="00BD1A8E">
        <w:rPr>
          <w:rFonts w:ascii="Bookman Old Style" w:hAnsi="Bookman Old Style"/>
          <w:color w:val="000000"/>
        </w:rPr>
        <w:t xml:space="preserve"> </w:t>
      </w:r>
      <w:r w:rsidRPr="00BD1A8E">
        <w:rPr>
          <w:rFonts w:ascii="Bookman Old Style" w:hAnsi="Bookman Old Style"/>
          <w:color w:val="221E1F"/>
        </w:rPr>
        <w:t>external</w:t>
      </w:r>
      <w:r w:rsidRPr="00BD1A8E">
        <w:rPr>
          <w:rFonts w:ascii="Bookman Old Style" w:hAnsi="Bookman Old Style"/>
          <w:color w:val="000000"/>
        </w:rPr>
        <w:t xml:space="preserve"> </w:t>
      </w:r>
      <w:r w:rsidRPr="00BD1A8E">
        <w:rPr>
          <w:rFonts w:ascii="Bookman Old Style" w:hAnsi="Bookman Old Style"/>
          <w:color w:val="221E1F"/>
        </w:rPr>
        <w:t>funding,</w:t>
      </w:r>
      <w:r w:rsidRPr="00BD1A8E">
        <w:rPr>
          <w:rFonts w:ascii="Bookman Old Style" w:hAnsi="Bookman Old Style"/>
          <w:color w:val="000000"/>
        </w:rPr>
        <w:t xml:space="preserve"> </w:t>
      </w:r>
      <w:r w:rsidRPr="00BD1A8E">
        <w:rPr>
          <w:rFonts w:ascii="Bookman Old Style" w:hAnsi="Bookman Old Style"/>
          <w:color w:val="221E1F"/>
        </w:rPr>
        <w:t>as</w:t>
      </w:r>
      <w:r w:rsidRPr="00BD1A8E">
        <w:rPr>
          <w:rFonts w:ascii="Bookman Old Style" w:hAnsi="Bookman Old Style"/>
          <w:color w:val="000000"/>
        </w:rPr>
        <w:t xml:space="preserve"> </w:t>
      </w:r>
      <w:r w:rsidRPr="00BD1A8E">
        <w:rPr>
          <w:rFonts w:ascii="Bookman Old Style" w:hAnsi="Bookman Old Style"/>
          <w:color w:val="221E1F"/>
        </w:rPr>
        <w:t>it</w:t>
      </w:r>
      <w:r w:rsidRPr="00BD1A8E">
        <w:rPr>
          <w:rFonts w:ascii="Bookman Old Style" w:hAnsi="Bookman Old Style"/>
          <w:color w:val="000000"/>
        </w:rPr>
        <w:t xml:space="preserve"> </w:t>
      </w:r>
      <w:r w:rsidRPr="00BD1A8E">
        <w:rPr>
          <w:rFonts w:ascii="Bookman Old Style" w:hAnsi="Bookman Old Style"/>
          <w:color w:val="221E1F"/>
        </w:rPr>
        <w:t>is</w:t>
      </w:r>
      <w:r w:rsidRPr="00BD1A8E">
        <w:rPr>
          <w:rFonts w:ascii="Bookman Old Style" w:hAnsi="Bookman Old Style"/>
          <w:color w:val="000000"/>
        </w:rPr>
        <w:t xml:space="preserve"> </w:t>
      </w:r>
      <w:r w:rsidRPr="00BD1A8E">
        <w:rPr>
          <w:rFonts w:ascii="Bookman Old Style" w:hAnsi="Bookman Old Style"/>
          <w:color w:val="221E1F"/>
        </w:rPr>
        <w:t>a</w:t>
      </w:r>
      <w:r w:rsidRPr="00BD1A8E">
        <w:rPr>
          <w:rFonts w:ascii="Bookman Old Style" w:hAnsi="Bookman Old Style"/>
          <w:color w:val="000000"/>
        </w:rPr>
        <w:t xml:space="preserve"> </w:t>
      </w:r>
      <w:r w:rsidRPr="00BD1A8E">
        <w:rPr>
          <w:rFonts w:ascii="Bookman Old Style" w:hAnsi="Bookman Old Style"/>
          <w:color w:val="221E1F"/>
        </w:rPr>
        <w:t>way</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assess</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project’s</w:t>
      </w:r>
      <w:r w:rsidRPr="00BD1A8E">
        <w:rPr>
          <w:rFonts w:ascii="Bookman Old Style" w:hAnsi="Bookman Old Style"/>
          <w:color w:val="000000"/>
        </w:rPr>
        <w:t xml:space="preserve"> </w:t>
      </w:r>
      <w:r w:rsidRPr="00BD1A8E">
        <w:rPr>
          <w:rFonts w:ascii="Bookman Old Style" w:hAnsi="Bookman Old Style"/>
          <w:color w:val="221E1F"/>
        </w:rPr>
        <w:t>effectiveness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convince</w:t>
      </w:r>
      <w:r w:rsidRPr="00BD1A8E">
        <w:rPr>
          <w:rFonts w:ascii="Bookman Old Style" w:hAnsi="Bookman Old Style"/>
          <w:color w:val="000000"/>
        </w:rPr>
        <w:t xml:space="preserve"> </w:t>
      </w:r>
      <w:r w:rsidRPr="00BD1A8E">
        <w:rPr>
          <w:rFonts w:ascii="Bookman Old Style" w:hAnsi="Bookman Old Style"/>
          <w:color w:val="221E1F"/>
        </w:rPr>
        <w:t>donors</w:t>
      </w:r>
      <w:r w:rsidRPr="00BD1A8E">
        <w:rPr>
          <w:rFonts w:ascii="Bookman Old Style" w:hAnsi="Bookman Old Style"/>
          <w:color w:val="000000"/>
        </w:rPr>
        <w:t xml:space="preserve"> </w:t>
      </w:r>
      <w:r w:rsidRPr="00BD1A8E">
        <w:rPr>
          <w:rFonts w:ascii="Bookman Old Style" w:hAnsi="Bookman Old Style"/>
          <w:color w:val="221E1F"/>
        </w:rPr>
        <w:t xml:space="preserve">(Holler </w:t>
      </w:r>
      <w:r w:rsidRPr="00BD1A8E">
        <w:rPr>
          <w:rFonts w:ascii="Bookman Old Style" w:hAnsi="Bookman Old Style"/>
          <w:iCs/>
          <w:color w:val="221E1F"/>
        </w:rPr>
        <w:t>et al</w:t>
      </w:r>
      <w:r w:rsidRPr="00BD1A8E">
        <w:rPr>
          <w:rFonts w:ascii="Bookman Old Style" w:hAnsi="Bookman Old Style"/>
          <w:color w:val="221E1F"/>
        </w:rPr>
        <w:t>.,</w:t>
      </w:r>
      <w:r w:rsidRPr="00BD1A8E">
        <w:rPr>
          <w:rFonts w:ascii="Bookman Old Style" w:hAnsi="Bookman Old Style"/>
          <w:color w:val="000000"/>
        </w:rPr>
        <w:t xml:space="preserve"> </w:t>
      </w:r>
      <w:r w:rsidRPr="00BD1A8E">
        <w:rPr>
          <w:rFonts w:ascii="Bookman Old Style" w:hAnsi="Bookman Old Style"/>
          <w:color w:val="221E1F"/>
        </w:rPr>
        <w:t>2014).</w:t>
      </w:r>
    </w:p>
    <w:p w14:paraId="55DD8F39" w14:textId="77777777" w:rsidR="00FB5722" w:rsidRPr="00BD1A8E" w:rsidRDefault="00FB5722" w:rsidP="00FB5722">
      <w:pPr>
        <w:pStyle w:val="ListParagraph"/>
        <w:spacing w:after="0" w:line="240" w:lineRule="auto"/>
        <w:jc w:val="both"/>
        <w:rPr>
          <w:rFonts w:ascii="Bookman Old Style" w:hAnsi="Bookman Old Style"/>
          <w:sz w:val="24"/>
          <w:szCs w:val="24"/>
        </w:rPr>
      </w:pPr>
    </w:p>
    <w:p w14:paraId="2FCC6110" w14:textId="77777777" w:rsidR="00FB5722" w:rsidRPr="00BD1A8E" w:rsidRDefault="00FB5722" w:rsidP="00FB5722">
      <w:pPr>
        <w:pStyle w:val="Pa11"/>
        <w:numPr>
          <w:ilvl w:val="0"/>
          <w:numId w:val="73"/>
        </w:numPr>
        <w:jc w:val="both"/>
        <w:rPr>
          <w:rFonts w:ascii="Bookman Old Style" w:hAnsi="Bookman Old Style"/>
          <w:color w:val="000000"/>
        </w:rPr>
      </w:pPr>
      <w:r w:rsidRPr="00BD1A8E">
        <w:rPr>
          <w:rFonts w:ascii="Bookman Old Style" w:hAnsi="Bookman Old Style"/>
          <w:color w:val="221E1F"/>
        </w:rPr>
        <w:t>Finally, monitoring the implementation is vital in effectively reaping the</w:t>
      </w:r>
      <w:r w:rsidRPr="00BD1A8E">
        <w:rPr>
          <w:rFonts w:ascii="Bookman Old Style" w:hAnsi="Bookman Old Style"/>
          <w:color w:val="000000"/>
        </w:rPr>
        <w:t xml:space="preserve"> </w:t>
      </w:r>
      <w:r w:rsidRPr="00BD1A8E">
        <w:rPr>
          <w:rFonts w:ascii="Bookman Old Style" w:hAnsi="Bookman Old Style"/>
          <w:color w:val="221E1F"/>
        </w:rPr>
        <w:t>huge</w:t>
      </w:r>
      <w:r w:rsidRPr="00BD1A8E">
        <w:rPr>
          <w:rFonts w:ascii="Bookman Old Style" w:hAnsi="Bookman Old Style"/>
          <w:color w:val="000000"/>
        </w:rPr>
        <w:t xml:space="preserve"> </w:t>
      </w:r>
      <w:r w:rsidRPr="00BD1A8E">
        <w:rPr>
          <w:rFonts w:ascii="Bookman Old Style" w:hAnsi="Bookman Old Style"/>
          <w:color w:val="221E1F"/>
        </w:rPr>
        <w:t>estimated</w:t>
      </w:r>
      <w:r w:rsidRPr="00BD1A8E">
        <w:rPr>
          <w:rFonts w:ascii="Bookman Old Style" w:hAnsi="Bookman Old Style"/>
          <w:color w:val="000000"/>
        </w:rPr>
        <w:t xml:space="preserve"> </w:t>
      </w:r>
      <w:r w:rsidRPr="00BD1A8E">
        <w:rPr>
          <w:rFonts w:ascii="Bookman Old Style" w:hAnsi="Bookman Old Style"/>
          <w:color w:val="221E1F"/>
        </w:rPr>
        <w:t>benefits</w:t>
      </w:r>
      <w:r w:rsidRPr="00BD1A8E">
        <w:rPr>
          <w:rFonts w:ascii="Bookman Old Style" w:hAnsi="Bookman Old Style"/>
          <w:color w:val="000000"/>
        </w:rPr>
        <w:t xml:space="preserve"> of the TFA to the global economy. </w:t>
      </w:r>
      <w:r w:rsidRPr="00BD1A8E">
        <w:rPr>
          <w:rFonts w:ascii="Bookman Old Style" w:hAnsi="Bookman Old Style"/>
          <w:color w:val="221E1F"/>
        </w:rPr>
        <w:t>This</w:t>
      </w:r>
      <w:r w:rsidRPr="00BD1A8E">
        <w:rPr>
          <w:rFonts w:ascii="Bookman Old Style" w:hAnsi="Bookman Old Style"/>
          <w:color w:val="000000"/>
        </w:rPr>
        <w:t xml:space="preserve"> </w:t>
      </w:r>
      <w:r w:rsidRPr="00BD1A8E">
        <w:rPr>
          <w:rFonts w:ascii="Bookman Old Style" w:hAnsi="Bookman Old Style"/>
          <w:color w:val="221E1F"/>
        </w:rPr>
        <w:t>will</w:t>
      </w:r>
      <w:r w:rsidRPr="00BD1A8E">
        <w:rPr>
          <w:rFonts w:ascii="Bookman Old Style" w:hAnsi="Bookman Old Style"/>
          <w:color w:val="000000"/>
        </w:rPr>
        <w:t xml:space="preserve"> </w:t>
      </w:r>
      <w:r w:rsidRPr="00BD1A8E">
        <w:rPr>
          <w:rFonts w:ascii="Bookman Old Style" w:hAnsi="Bookman Old Style"/>
          <w:color w:val="221E1F"/>
        </w:rPr>
        <w:t>help</w:t>
      </w:r>
      <w:r w:rsidRPr="00BD1A8E">
        <w:rPr>
          <w:rFonts w:ascii="Bookman Old Style" w:hAnsi="Bookman Old Style"/>
          <w:color w:val="000000"/>
        </w:rPr>
        <w:t xml:space="preserve"> </w:t>
      </w:r>
      <w:r w:rsidRPr="00BD1A8E">
        <w:rPr>
          <w:rFonts w:ascii="Bookman Old Style" w:hAnsi="Bookman Old Style"/>
          <w:color w:val="221E1F"/>
        </w:rPr>
        <w:t>gauge</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progress</w:t>
      </w:r>
      <w:r w:rsidRPr="00BD1A8E">
        <w:rPr>
          <w:rFonts w:ascii="Bookman Old Style" w:hAnsi="Bookman Old Style"/>
          <w:color w:val="000000"/>
        </w:rPr>
        <w:t xml:space="preserve"> </w:t>
      </w:r>
      <w:r w:rsidRPr="00BD1A8E">
        <w:rPr>
          <w:rFonts w:ascii="Bookman Old Style" w:hAnsi="Bookman Old Style"/>
          <w:color w:val="221E1F"/>
        </w:rPr>
        <w:t>that</w:t>
      </w:r>
      <w:r w:rsidRPr="00BD1A8E">
        <w:rPr>
          <w:rFonts w:ascii="Bookman Old Style" w:hAnsi="Bookman Old Style"/>
          <w:color w:val="000000"/>
        </w:rPr>
        <w:t xml:space="preserve"> </w:t>
      </w:r>
      <w:r w:rsidRPr="00BD1A8E">
        <w:rPr>
          <w:rFonts w:ascii="Bookman Old Style" w:hAnsi="Bookman Old Style"/>
          <w:color w:val="221E1F"/>
        </w:rPr>
        <w:t>has</w:t>
      </w:r>
      <w:r w:rsidRPr="00BD1A8E">
        <w:rPr>
          <w:rFonts w:ascii="Bookman Old Style" w:hAnsi="Bookman Old Style"/>
          <w:color w:val="000000"/>
        </w:rPr>
        <w:t xml:space="preserve"> </w:t>
      </w:r>
      <w:r w:rsidRPr="00BD1A8E">
        <w:rPr>
          <w:rFonts w:ascii="Bookman Old Style" w:hAnsi="Bookman Old Style"/>
          <w:color w:val="221E1F"/>
        </w:rPr>
        <w:t>been</w:t>
      </w:r>
      <w:r w:rsidRPr="00BD1A8E">
        <w:rPr>
          <w:rFonts w:ascii="Bookman Old Style" w:hAnsi="Bookman Old Style"/>
          <w:color w:val="000000"/>
        </w:rPr>
        <w:t xml:space="preserve"> </w:t>
      </w:r>
      <w:r w:rsidRPr="00BD1A8E">
        <w:rPr>
          <w:rFonts w:ascii="Bookman Old Style" w:hAnsi="Bookman Old Style"/>
          <w:color w:val="221E1F"/>
        </w:rPr>
        <w:t>achieved,</w:t>
      </w:r>
      <w:r w:rsidRPr="00BD1A8E">
        <w:rPr>
          <w:rFonts w:ascii="Bookman Old Style" w:hAnsi="Bookman Old Style"/>
          <w:color w:val="000000"/>
        </w:rPr>
        <w:t xml:space="preserve"> </w:t>
      </w:r>
      <w:r w:rsidRPr="00BD1A8E">
        <w:rPr>
          <w:rFonts w:ascii="Bookman Old Style" w:hAnsi="Bookman Old Style"/>
          <w:color w:val="221E1F"/>
        </w:rPr>
        <w:t>identify</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problems</w:t>
      </w:r>
      <w:r w:rsidRPr="00BD1A8E">
        <w:rPr>
          <w:rFonts w:ascii="Bookman Old Style" w:hAnsi="Bookman Old Style"/>
          <w:color w:val="000000"/>
        </w:rPr>
        <w:t xml:space="preserve"> </w:t>
      </w:r>
      <w:r w:rsidRPr="00BD1A8E">
        <w:rPr>
          <w:rFonts w:ascii="Bookman Old Style" w:hAnsi="Bookman Old Style"/>
          <w:color w:val="221E1F"/>
        </w:rPr>
        <w:t>that</w:t>
      </w:r>
      <w:r w:rsidRPr="00BD1A8E">
        <w:rPr>
          <w:rFonts w:ascii="Bookman Old Style" w:hAnsi="Bookman Old Style"/>
          <w:color w:val="000000"/>
        </w:rPr>
        <w:t xml:space="preserve"> </w:t>
      </w:r>
      <w:r w:rsidRPr="00BD1A8E">
        <w:rPr>
          <w:rFonts w:ascii="Bookman Old Style" w:hAnsi="Bookman Old Style"/>
          <w:color w:val="221E1F"/>
        </w:rPr>
        <w:t>have</w:t>
      </w:r>
      <w:r w:rsidRPr="00BD1A8E">
        <w:rPr>
          <w:rFonts w:ascii="Bookman Old Style" w:hAnsi="Bookman Old Style"/>
          <w:color w:val="000000"/>
        </w:rPr>
        <w:t xml:space="preserve"> </w:t>
      </w:r>
      <w:r w:rsidRPr="00BD1A8E">
        <w:rPr>
          <w:rFonts w:ascii="Bookman Old Style" w:hAnsi="Bookman Old Style"/>
          <w:color w:val="221E1F"/>
        </w:rPr>
        <w:t>been</w:t>
      </w:r>
      <w:r w:rsidRPr="00BD1A8E">
        <w:rPr>
          <w:rFonts w:ascii="Bookman Old Style" w:hAnsi="Bookman Old Style"/>
          <w:color w:val="000000"/>
        </w:rPr>
        <w:t xml:space="preserve"> </w:t>
      </w:r>
      <w:r w:rsidRPr="00BD1A8E">
        <w:rPr>
          <w:rFonts w:ascii="Bookman Old Style" w:hAnsi="Bookman Old Style"/>
          <w:color w:val="221E1F"/>
        </w:rPr>
        <w:t>encountered</w:t>
      </w:r>
      <w:r w:rsidRPr="00BD1A8E">
        <w:rPr>
          <w:rFonts w:ascii="Bookman Old Style" w:hAnsi="Bookman Old Style"/>
          <w:color w:val="000000"/>
        </w:rPr>
        <w:t xml:space="preserve"> </w:t>
      </w:r>
      <w:r w:rsidRPr="00BD1A8E">
        <w:rPr>
          <w:rFonts w:ascii="Bookman Old Style" w:hAnsi="Bookman Old Style"/>
          <w:color w:val="221E1F"/>
        </w:rPr>
        <w:t>by</w:t>
      </w:r>
      <w:r w:rsidRPr="00BD1A8E">
        <w:rPr>
          <w:rFonts w:ascii="Bookman Old Style" w:hAnsi="Bookman Old Style"/>
          <w:color w:val="000000"/>
        </w:rPr>
        <w:t xml:space="preserve"> </w:t>
      </w:r>
      <w:r w:rsidRPr="00BD1A8E">
        <w:rPr>
          <w:rFonts w:ascii="Bookman Old Style" w:hAnsi="Bookman Old Style"/>
          <w:color w:val="221E1F"/>
        </w:rPr>
        <w:t>implementing</w:t>
      </w:r>
      <w:r w:rsidRPr="00BD1A8E">
        <w:rPr>
          <w:rFonts w:ascii="Bookman Old Style" w:hAnsi="Bookman Old Style"/>
          <w:color w:val="000000"/>
        </w:rPr>
        <w:t xml:space="preserve"> </w:t>
      </w:r>
      <w:r w:rsidRPr="00BD1A8E">
        <w:rPr>
          <w:rFonts w:ascii="Bookman Old Style" w:hAnsi="Bookman Old Style"/>
          <w:color w:val="221E1F"/>
        </w:rPr>
        <w:t>members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assess</w:t>
      </w:r>
      <w:r w:rsidRPr="00BD1A8E">
        <w:rPr>
          <w:rFonts w:ascii="Bookman Old Style" w:hAnsi="Bookman Old Style"/>
          <w:color w:val="000000"/>
        </w:rPr>
        <w:t xml:space="preserve"> </w:t>
      </w:r>
      <w:r w:rsidRPr="00BD1A8E">
        <w:rPr>
          <w:rFonts w:ascii="Bookman Old Style" w:hAnsi="Bookman Old Style"/>
          <w:color w:val="221E1F"/>
        </w:rPr>
        <w:t>how</w:t>
      </w:r>
      <w:r w:rsidRPr="00BD1A8E">
        <w:rPr>
          <w:rFonts w:ascii="Bookman Old Style" w:hAnsi="Bookman Old Style"/>
          <w:color w:val="000000"/>
        </w:rPr>
        <w:t xml:space="preserve"> </w:t>
      </w:r>
      <w:r w:rsidRPr="00BD1A8E">
        <w:rPr>
          <w:rFonts w:ascii="Bookman Old Style" w:hAnsi="Bookman Old Style"/>
          <w:color w:val="221E1F"/>
        </w:rPr>
        <w:t>well</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flexibilities</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Agreement</w:t>
      </w:r>
      <w:r w:rsidRPr="00BD1A8E">
        <w:rPr>
          <w:rFonts w:ascii="Bookman Old Style" w:hAnsi="Bookman Old Style"/>
          <w:color w:val="000000"/>
        </w:rPr>
        <w:t xml:space="preserve"> </w:t>
      </w:r>
      <w:r w:rsidRPr="00BD1A8E">
        <w:rPr>
          <w:rFonts w:ascii="Bookman Old Style" w:hAnsi="Bookman Old Style"/>
          <w:color w:val="221E1F"/>
        </w:rPr>
        <w:t>for</w:t>
      </w:r>
      <w:r w:rsidRPr="00BD1A8E">
        <w:rPr>
          <w:rFonts w:ascii="Bookman Old Style" w:hAnsi="Bookman Old Style"/>
          <w:color w:val="000000"/>
        </w:rPr>
        <w:t xml:space="preserve"> </w:t>
      </w:r>
      <w:r w:rsidRPr="00BD1A8E">
        <w:rPr>
          <w:rFonts w:ascii="Bookman Old Style" w:hAnsi="Bookman Old Style"/>
          <w:color w:val="221E1F"/>
        </w:rPr>
        <w:t>developing</w:t>
      </w:r>
      <w:r w:rsidRPr="00BD1A8E">
        <w:rPr>
          <w:rFonts w:ascii="Bookman Old Style" w:hAnsi="Bookman Old Style"/>
          <w:color w:val="000000"/>
        </w:rPr>
        <w:t xml:space="preserve"> </w:t>
      </w:r>
      <w:r w:rsidRPr="00BD1A8E">
        <w:rPr>
          <w:rFonts w:ascii="Bookman Old Style" w:hAnsi="Bookman Old Style"/>
          <w:color w:val="221E1F"/>
        </w:rPr>
        <w:t>countries</w:t>
      </w:r>
      <w:r w:rsidRPr="00BD1A8E">
        <w:rPr>
          <w:rFonts w:ascii="Bookman Old Style" w:hAnsi="Bookman Old Style"/>
          <w:color w:val="000000"/>
        </w:rPr>
        <w:t xml:space="preserve"> </w:t>
      </w:r>
      <w:r w:rsidRPr="00BD1A8E">
        <w:rPr>
          <w:rFonts w:ascii="Bookman Old Style" w:hAnsi="Bookman Old Style"/>
          <w:color w:val="221E1F"/>
        </w:rPr>
        <w:t>or</w:t>
      </w:r>
      <w:r w:rsidRPr="00BD1A8E">
        <w:rPr>
          <w:rFonts w:ascii="Bookman Old Style" w:hAnsi="Bookman Old Style"/>
          <w:color w:val="000000"/>
        </w:rPr>
        <w:t xml:space="preserve"> </w:t>
      </w:r>
      <w:r w:rsidRPr="00BD1A8E">
        <w:rPr>
          <w:rFonts w:ascii="Bookman Old Style" w:hAnsi="Bookman Old Style"/>
          <w:color w:val="221E1F"/>
        </w:rPr>
        <w:t>LDCs</w:t>
      </w:r>
      <w:r w:rsidRPr="00BD1A8E">
        <w:rPr>
          <w:rFonts w:ascii="Bookman Old Style" w:hAnsi="Bookman Old Style"/>
          <w:color w:val="000000"/>
        </w:rPr>
        <w:t xml:space="preserve"> </w:t>
      </w:r>
      <w:r w:rsidRPr="00BD1A8E">
        <w:rPr>
          <w:rFonts w:ascii="Bookman Old Style" w:hAnsi="Bookman Old Style"/>
          <w:color w:val="221E1F"/>
        </w:rPr>
        <w:t>have</w:t>
      </w:r>
      <w:r w:rsidRPr="00BD1A8E">
        <w:rPr>
          <w:rFonts w:ascii="Bookman Old Style" w:hAnsi="Bookman Old Style"/>
          <w:color w:val="000000"/>
        </w:rPr>
        <w:t xml:space="preserve"> </w:t>
      </w:r>
      <w:r w:rsidRPr="00BD1A8E">
        <w:rPr>
          <w:rFonts w:ascii="Bookman Old Style" w:hAnsi="Bookman Old Style"/>
          <w:color w:val="221E1F"/>
        </w:rPr>
        <w:t>worked.</w:t>
      </w:r>
      <w:r w:rsidRPr="00BD1A8E">
        <w:rPr>
          <w:rFonts w:ascii="Bookman Old Style" w:hAnsi="Bookman Old Style"/>
          <w:color w:val="000000"/>
        </w:rPr>
        <w:t xml:space="preserve"> </w:t>
      </w:r>
      <w:r w:rsidRPr="00BD1A8E">
        <w:rPr>
          <w:rFonts w:ascii="Bookman Old Style" w:hAnsi="Bookman Old Style"/>
          <w:color w:val="221E1F"/>
        </w:rPr>
        <w:t>Resources</w:t>
      </w:r>
      <w:r w:rsidRPr="00BD1A8E">
        <w:rPr>
          <w:rFonts w:ascii="Bookman Old Style" w:hAnsi="Bookman Old Style"/>
          <w:color w:val="000000"/>
        </w:rPr>
        <w:t xml:space="preserve"> </w:t>
      </w:r>
      <w:r w:rsidRPr="00BD1A8E">
        <w:rPr>
          <w:rFonts w:ascii="Bookman Old Style" w:hAnsi="Bookman Old Style"/>
          <w:color w:val="221E1F"/>
        </w:rPr>
        <w:t>will</w:t>
      </w:r>
      <w:r w:rsidRPr="00BD1A8E">
        <w:rPr>
          <w:rFonts w:ascii="Bookman Old Style" w:hAnsi="Bookman Old Style"/>
          <w:color w:val="000000"/>
        </w:rPr>
        <w:t xml:space="preserve"> </w:t>
      </w:r>
      <w:r w:rsidRPr="00BD1A8E">
        <w:rPr>
          <w:rFonts w:ascii="Bookman Old Style" w:hAnsi="Bookman Old Style"/>
          <w:color w:val="221E1F"/>
        </w:rPr>
        <w:t>be</w:t>
      </w:r>
      <w:r w:rsidRPr="00BD1A8E">
        <w:rPr>
          <w:rFonts w:ascii="Bookman Old Style" w:hAnsi="Bookman Old Style"/>
          <w:color w:val="000000"/>
        </w:rPr>
        <w:t xml:space="preserve"> </w:t>
      </w:r>
      <w:r w:rsidRPr="00BD1A8E">
        <w:rPr>
          <w:rFonts w:ascii="Bookman Old Style" w:hAnsi="Bookman Old Style"/>
          <w:color w:val="221E1F"/>
        </w:rPr>
        <w:t>needed</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increase</w:t>
      </w:r>
      <w:r w:rsidRPr="00BD1A8E">
        <w:rPr>
          <w:rFonts w:ascii="Bookman Old Style" w:hAnsi="Bookman Old Style"/>
          <w:color w:val="000000"/>
        </w:rPr>
        <w:t xml:space="preserve"> </w:t>
      </w:r>
      <w:r w:rsidRPr="00BD1A8E">
        <w:rPr>
          <w:rFonts w:ascii="Bookman Old Style" w:hAnsi="Bookman Old Style"/>
          <w:color w:val="221E1F"/>
        </w:rPr>
        <w:t>capacity</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developing</w:t>
      </w:r>
      <w:r w:rsidRPr="00BD1A8E">
        <w:rPr>
          <w:rFonts w:ascii="Bookman Old Style" w:hAnsi="Bookman Old Style"/>
          <w:color w:val="000000"/>
        </w:rPr>
        <w:t xml:space="preserve"> </w:t>
      </w:r>
      <w:r w:rsidRPr="00BD1A8E">
        <w:rPr>
          <w:rFonts w:ascii="Bookman Old Style" w:hAnsi="Bookman Old Style"/>
          <w:color w:val="221E1F"/>
        </w:rPr>
        <w:t>countries</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implement</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TFA.</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ensure</w:t>
      </w:r>
      <w:r w:rsidRPr="00BD1A8E">
        <w:rPr>
          <w:rFonts w:ascii="Bookman Old Style" w:hAnsi="Bookman Old Style"/>
          <w:color w:val="000000"/>
        </w:rPr>
        <w:t xml:space="preserve"> </w:t>
      </w:r>
      <w:r w:rsidRPr="00BD1A8E">
        <w:rPr>
          <w:rFonts w:ascii="Bookman Old Style" w:hAnsi="Bookman Old Style"/>
          <w:color w:val="221E1F"/>
        </w:rPr>
        <w:t>that</w:t>
      </w:r>
      <w:r w:rsidRPr="00BD1A8E">
        <w:rPr>
          <w:rFonts w:ascii="Bookman Old Style" w:hAnsi="Bookman Old Style"/>
          <w:color w:val="000000"/>
        </w:rPr>
        <w:t xml:space="preserve"> </w:t>
      </w:r>
      <w:r w:rsidRPr="00BD1A8E">
        <w:rPr>
          <w:rFonts w:ascii="Bookman Old Style" w:hAnsi="Bookman Old Style"/>
          <w:color w:val="221E1F"/>
        </w:rPr>
        <w:t>they</w:t>
      </w:r>
      <w:r w:rsidRPr="00BD1A8E">
        <w:rPr>
          <w:rFonts w:ascii="Bookman Old Style" w:hAnsi="Bookman Old Style"/>
          <w:color w:val="000000"/>
        </w:rPr>
        <w:t xml:space="preserve"> </w:t>
      </w:r>
      <w:r w:rsidRPr="00BD1A8E">
        <w:rPr>
          <w:rFonts w:ascii="Bookman Old Style" w:hAnsi="Bookman Old Style"/>
          <w:color w:val="221E1F"/>
        </w:rPr>
        <w:t>are</w:t>
      </w:r>
      <w:r w:rsidRPr="00BD1A8E">
        <w:rPr>
          <w:rFonts w:ascii="Bookman Old Style" w:hAnsi="Bookman Old Style"/>
          <w:color w:val="000000"/>
        </w:rPr>
        <w:t xml:space="preserve"> </w:t>
      </w:r>
      <w:r w:rsidRPr="00BD1A8E">
        <w:rPr>
          <w:rFonts w:ascii="Bookman Old Style" w:hAnsi="Bookman Old Style"/>
          <w:color w:val="221E1F"/>
        </w:rPr>
        <w:t>allocated</w:t>
      </w:r>
      <w:r w:rsidRPr="00BD1A8E">
        <w:rPr>
          <w:rFonts w:ascii="Bookman Old Style" w:hAnsi="Bookman Old Style"/>
          <w:color w:val="000000"/>
        </w:rPr>
        <w:t xml:space="preserve"> </w:t>
      </w:r>
      <w:r w:rsidRPr="00BD1A8E">
        <w:rPr>
          <w:rFonts w:ascii="Bookman Old Style" w:hAnsi="Bookman Old Style"/>
          <w:color w:val="221E1F"/>
        </w:rPr>
        <w:t>efficiently,</w:t>
      </w:r>
      <w:r w:rsidRPr="00BD1A8E">
        <w:rPr>
          <w:rFonts w:ascii="Bookman Old Style" w:hAnsi="Bookman Old Style"/>
          <w:color w:val="000000"/>
        </w:rPr>
        <w:t xml:space="preserve"> </w:t>
      </w:r>
      <w:r w:rsidRPr="00BD1A8E">
        <w:rPr>
          <w:rFonts w:ascii="Bookman Old Style" w:hAnsi="Bookman Old Style"/>
          <w:color w:val="221E1F"/>
        </w:rPr>
        <w:t>one</w:t>
      </w:r>
      <w:r w:rsidRPr="00BD1A8E">
        <w:rPr>
          <w:rFonts w:ascii="Bookman Old Style" w:hAnsi="Bookman Old Style"/>
          <w:color w:val="000000"/>
        </w:rPr>
        <w:t xml:space="preserve"> </w:t>
      </w:r>
      <w:r w:rsidRPr="00BD1A8E">
        <w:rPr>
          <w:rFonts w:ascii="Bookman Old Style" w:hAnsi="Bookman Old Style"/>
          <w:color w:val="221E1F"/>
        </w:rPr>
        <w:t>needs</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know</w:t>
      </w:r>
      <w:r w:rsidRPr="00BD1A8E">
        <w:rPr>
          <w:rFonts w:ascii="Bookman Old Style" w:hAnsi="Bookman Old Style"/>
          <w:color w:val="000000"/>
        </w:rPr>
        <w:t xml:space="preserve"> </w:t>
      </w:r>
      <w:r w:rsidRPr="00BD1A8E">
        <w:rPr>
          <w:rFonts w:ascii="Bookman Old Style" w:hAnsi="Bookman Old Style"/>
          <w:color w:val="221E1F"/>
        </w:rPr>
        <w:t>what</w:t>
      </w:r>
      <w:r w:rsidRPr="00BD1A8E">
        <w:rPr>
          <w:rFonts w:ascii="Bookman Old Style" w:hAnsi="Bookman Old Style"/>
          <w:color w:val="000000"/>
        </w:rPr>
        <w:t xml:space="preserve"> </w:t>
      </w:r>
      <w:r w:rsidRPr="00BD1A8E">
        <w:rPr>
          <w:rFonts w:ascii="Bookman Old Style" w:hAnsi="Bookman Old Style"/>
          <w:color w:val="221E1F"/>
        </w:rPr>
        <w:t>types</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capacity-building</w:t>
      </w:r>
      <w:r w:rsidRPr="00BD1A8E">
        <w:rPr>
          <w:rFonts w:ascii="Bookman Old Style" w:hAnsi="Bookman Old Style"/>
          <w:color w:val="000000"/>
        </w:rPr>
        <w:t xml:space="preserve"> </w:t>
      </w:r>
      <w:r w:rsidRPr="00BD1A8E">
        <w:rPr>
          <w:rFonts w:ascii="Bookman Old Style" w:hAnsi="Bookman Old Style"/>
          <w:color w:val="221E1F"/>
        </w:rPr>
        <w:t>initiatives</w:t>
      </w:r>
      <w:r w:rsidRPr="00BD1A8E">
        <w:rPr>
          <w:rFonts w:ascii="Bookman Old Style" w:hAnsi="Bookman Old Style"/>
          <w:color w:val="000000"/>
        </w:rPr>
        <w:t xml:space="preserve"> </w:t>
      </w:r>
      <w:r w:rsidRPr="00BD1A8E">
        <w:rPr>
          <w:rFonts w:ascii="Bookman Old Style" w:hAnsi="Bookman Old Style"/>
          <w:color w:val="221E1F"/>
        </w:rPr>
        <w:t>are</w:t>
      </w:r>
      <w:r w:rsidRPr="00BD1A8E">
        <w:rPr>
          <w:rFonts w:ascii="Bookman Old Style" w:hAnsi="Bookman Old Style"/>
          <w:color w:val="000000"/>
        </w:rPr>
        <w:t xml:space="preserve"> </w:t>
      </w:r>
      <w:r w:rsidRPr="00BD1A8E">
        <w:rPr>
          <w:rFonts w:ascii="Bookman Old Style" w:hAnsi="Bookman Old Style"/>
          <w:color w:val="221E1F"/>
        </w:rPr>
        <w:t>most</w:t>
      </w:r>
      <w:r w:rsidRPr="00BD1A8E">
        <w:rPr>
          <w:rFonts w:ascii="Bookman Old Style" w:hAnsi="Bookman Old Style"/>
          <w:color w:val="000000"/>
        </w:rPr>
        <w:t xml:space="preserve"> </w:t>
      </w:r>
      <w:r w:rsidRPr="00BD1A8E">
        <w:rPr>
          <w:rFonts w:ascii="Bookman Old Style" w:hAnsi="Bookman Old Style"/>
          <w:color w:val="221E1F"/>
        </w:rPr>
        <w:t>effective,</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under</w:t>
      </w:r>
      <w:r w:rsidRPr="00BD1A8E">
        <w:rPr>
          <w:rFonts w:ascii="Bookman Old Style" w:hAnsi="Bookman Old Style"/>
          <w:color w:val="000000"/>
        </w:rPr>
        <w:t xml:space="preserve"> </w:t>
      </w:r>
      <w:r w:rsidRPr="00BD1A8E">
        <w:rPr>
          <w:rFonts w:ascii="Bookman Old Style" w:hAnsi="Bookman Old Style"/>
          <w:color w:val="221E1F"/>
        </w:rPr>
        <w:t>what</w:t>
      </w:r>
      <w:r w:rsidRPr="00BD1A8E">
        <w:rPr>
          <w:rFonts w:ascii="Bookman Old Style" w:hAnsi="Bookman Old Style"/>
          <w:color w:val="000000"/>
        </w:rPr>
        <w:t xml:space="preserve"> </w:t>
      </w:r>
      <w:r w:rsidRPr="00BD1A8E">
        <w:rPr>
          <w:rFonts w:ascii="Bookman Old Style" w:hAnsi="Bookman Old Style"/>
          <w:color w:val="221E1F"/>
        </w:rPr>
        <w:t>circumstances.</w:t>
      </w:r>
      <w:r w:rsidRPr="00BD1A8E">
        <w:rPr>
          <w:rFonts w:ascii="Bookman Old Style" w:hAnsi="Bookman Old Style"/>
          <w:color w:val="000000"/>
        </w:rPr>
        <w:t xml:space="preserve"> </w:t>
      </w:r>
      <w:r w:rsidRPr="00BD1A8E">
        <w:rPr>
          <w:rFonts w:ascii="Bookman Old Style" w:hAnsi="Bookman Old Style"/>
          <w:color w:val="221E1F"/>
        </w:rPr>
        <w:t>These</w:t>
      </w:r>
      <w:r w:rsidRPr="00BD1A8E">
        <w:rPr>
          <w:rFonts w:ascii="Bookman Old Style" w:hAnsi="Bookman Old Style"/>
          <w:color w:val="000000"/>
        </w:rPr>
        <w:t xml:space="preserve"> </w:t>
      </w:r>
      <w:r w:rsidRPr="00BD1A8E">
        <w:rPr>
          <w:rFonts w:ascii="Bookman Old Style" w:hAnsi="Bookman Old Style"/>
          <w:color w:val="221E1F"/>
        </w:rPr>
        <w:t>are</w:t>
      </w:r>
      <w:r w:rsidRPr="00BD1A8E">
        <w:rPr>
          <w:rFonts w:ascii="Bookman Old Style" w:hAnsi="Bookman Old Style"/>
          <w:color w:val="000000"/>
        </w:rPr>
        <w:t xml:space="preserve"> </w:t>
      </w:r>
      <w:r w:rsidRPr="00BD1A8E">
        <w:rPr>
          <w:rFonts w:ascii="Bookman Old Style" w:hAnsi="Bookman Old Style"/>
          <w:color w:val="221E1F"/>
        </w:rPr>
        <w:t>typically</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types</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questions</w:t>
      </w:r>
      <w:r w:rsidRPr="00BD1A8E">
        <w:rPr>
          <w:rFonts w:ascii="Bookman Old Style" w:hAnsi="Bookman Old Style"/>
          <w:color w:val="000000"/>
        </w:rPr>
        <w:t xml:space="preserve"> </w:t>
      </w:r>
      <w:r w:rsidRPr="00BD1A8E">
        <w:rPr>
          <w:rFonts w:ascii="Bookman Old Style" w:hAnsi="Bookman Old Style"/>
          <w:color w:val="221E1F"/>
        </w:rPr>
        <w:t>that</w:t>
      </w:r>
      <w:r w:rsidRPr="00BD1A8E">
        <w:rPr>
          <w:rFonts w:ascii="Bookman Old Style" w:hAnsi="Bookman Old Style"/>
          <w:color w:val="000000"/>
        </w:rPr>
        <w:t xml:space="preserve"> </w:t>
      </w:r>
      <w:r w:rsidRPr="00BD1A8E">
        <w:rPr>
          <w:rFonts w:ascii="Bookman Old Style" w:hAnsi="Bookman Old Style"/>
          <w:color w:val="221E1F"/>
        </w:rPr>
        <w:t>impact</w:t>
      </w:r>
      <w:r w:rsidRPr="00BD1A8E">
        <w:rPr>
          <w:rFonts w:ascii="Bookman Old Style" w:hAnsi="Bookman Old Style"/>
          <w:color w:val="000000"/>
        </w:rPr>
        <w:t xml:space="preserve"> </w:t>
      </w:r>
      <w:r w:rsidRPr="00BD1A8E">
        <w:rPr>
          <w:rFonts w:ascii="Bookman Old Style" w:hAnsi="Bookman Old Style"/>
          <w:color w:val="221E1F"/>
        </w:rPr>
        <w:t>evaluation</w:t>
      </w:r>
      <w:r w:rsidRPr="00BD1A8E">
        <w:rPr>
          <w:rFonts w:ascii="Bookman Old Style" w:hAnsi="Bookman Old Style"/>
          <w:color w:val="000000"/>
        </w:rPr>
        <w:t xml:space="preserve"> </w:t>
      </w:r>
      <w:r w:rsidRPr="00BD1A8E">
        <w:rPr>
          <w:rFonts w:ascii="Bookman Old Style" w:hAnsi="Bookman Old Style"/>
          <w:color w:val="221E1F"/>
        </w:rPr>
        <w:lastRenderedPageBreak/>
        <w:t>studies</w:t>
      </w:r>
      <w:r w:rsidRPr="00BD1A8E">
        <w:rPr>
          <w:rFonts w:ascii="Bookman Old Style" w:hAnsi="Bookman Old Style"/>
          <w:color w:val="000000"/>
        </w:rPr>
        <w:t xml:space="preserve"> </w:t>
      </w:r>
      <w:r w:rsidRPr="00BD1A8E">
        <w:rPr>
          <w:rFonts w:ascii="Bookman Old Style" w:hAnsi="Bookman Old Style"/>
          <w:color w:val="221E1F"/>
        </w:rPr>
        <w:t>are</w:t>
      </w:r>
      <w:r w:rsidRPr="00BD1A8E">
        <w:rPr>
          <w:rFonts w:ascii="Bookman Old Style" w:hAnsi="Bookman Old Style"/>
          <w:color w:val="000000"/>
        </w:rPr>
        <w:t xml:space="preserve"> </w:t>
      </w:r>
      <w:r w:rsidRPr="00BD1A8E">
        <w:rPr>
          <w:rFonts w:ascii="Bookman Old Style" w:hAnsi="Bookman Old Style"/>
          <w:color w:val="221E1F"/>
        </w:rPr>
        <w:t>best</w:t>
      </w:r>
      <w:r w:rsidRPr="00BD1A8E">
        <w:rPr>
          <w:rFonts w:ascii="Bookman Old Style" w:hAnsi="Bookman Old Style"/>
          <w:color w:val="000000"/>
        </w:rPr>
        <w:t xml:space="preserve"> </w:t>
      </w:r>
      <w:r w:rsidRPr="00BD1A8E">
        <w:rPr>
          <w:rFonts w:ascii="Bookman Old Style" w:hAnsi="Bookman Old Style"/>
          <w:color w:val="221E1F"/>
        </w:rPr>
        <w:t>equipped</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answer.</w:t>
      </w:r>
      <w:r w:rsidRPr="00BD1A8E">
        <w:rPr>
          <w:rFonts w:ascii="Bookman Old Style" w:hAnsi="Bookman Old Style"/>
          <w:color w:val="000000"/>
        </w:rPr>
        <w:t xml:space="preserve"> </w:t>
      </w:r>
      <w:r w:rsidRPr="00BD1A8E">
        <w:rPr>
          <w:rFonts w:ascii="Bookman Old Style" w:hAnsi="Bookman Old Style"/>
          <w:color w:val="221E1F"/>
        </w:rPr>
        <w:t>There</w:t>
      </w:r>
      <w:r w:rsidRPr="00BD1A8E">
        <w:rPr>
          <w:rFonts w:ascii="Bookman Old Style" w:hAnsi="Bookman Old Style"/>
          <w:color w:val="000000"/>
        </w:rPr>
        <w:t xml:space="preserve"> </w:t>
      </w:r>
      <w:r w:rsidRPr="00BD1A8E">
        <w:rPr>
          <w:rFonts w:ascii="Bookman Old Style" w:hAnsi="Bookman Old Style"/>
          <w:color w:val="221E1F"/>
        </w:rPr>
        <w:t>has</w:t>
      </w:r>
      <w:r w:rsidRPr="00BD1A8E">
        <w:rPr>
          <w:rFonts w:ascii="Bookman Old Style" w:hAnsi="Bookman Old Style"/>
          <w:color w:val="000000"/>
        </w:rPr>
        <w:t xml:space="preserve"> </w:t>
      </w:r>
      <w:r w:rsidRPr="00BD1A8E">
        <w:rPr>
          <w:rFonts w:ascii="Bookman Old Style" w:hAnsi="Bookman Old Style"/>
          <w:color w:val="221E1F"/>
        </w:rPr>
        <w:t>been</w:t>
      </w:r>
      <w:r w:rsidRPr="00BD1A8E">
        <w:rPr>
          <w:rFonts w:ascii="Bookman Old Style" w:hAnsi="Bookman Old Style"/>
          <w:color w:val="000000"/>
        </w:rPr>
        <w:t xml:space="preserve"> </w:t>
      </w:r>
      <w:r w:rsidRPr="00BD1A8E">
        <w:rPr>
          <w:rFonts w:ascii="Bookman Old Style" w:hAnsi="Bookman Old Style"/>
          <w:color w:val="221E1F"/>
        </w:rPr>
        <w:t>some</w:t>
      </w:r>
      <w:r w:rsidRPr="00BD1A8E">
        <w:rPr>
          <w:rFonts w:ascii="Bookman Old Style" w:hAnsi="Bookman Old Style"/>
          <w:color w:val="000000"/>
        </w:rPr>
        <w:t xml:space="preserve"> </w:t>
      </w:r>
      <w:r w:rsidRPr="00BD1A8E">
        <w:rPr>
          <w:rFonts w:ascii="Bookman Old Style" w:hAnsi="Bookman Old Style"/>
          <w:color w:val="221E1F"/>
        </w:rPr>
        <w:t>work</w:t>
      </w:r>
      <w:r w:rsidRPr="00BD1A8E">
        <w:rPr>
          <w:rFonts w:ascii="Bookman Old Style" w:hAnsi="Bookman Old Style"/>
          <w:color w:val="000000"/>
        </w:rPr>
        <w:t xml:space="preserve"> </w:t>
      </w:r>
      <w:r w:rsidRPr="00BD1A8E">
        <w:rPr>
          <w:rFonts w:ascii="Bookman Old Style" w:hAnsi="Bookman Old Style"/>
          <w:color w:val="221E1F"/>
        </w:rPr>
        <w:t>on</w:t>
      </w:r>
      <w:r w:rsidRPr="00BD1A8E">
        <w:rPr>
          <w:rFonts w:ascii="Bookman Old Style" w:hAnsi="Bookman Old Style"/>
          <w:color w:val="000000"/>
        </w:rPr>
        <w:t xml:space="preserve"> </w:t>
      </w:r>
      <w:r w:rsidRPr="00BD1A8E">
        <w:rPr>
          <w:rFonts w:ascii="Bookman Old Style" w:hAnsi="Bookman Old Style"/>
          <w:color w:val="221E1F"/>
        </w:rPr>
        <w:t>developing</w:t>
      </w:r>
      <w:r w:rsidRPr="00BD1A8E">
        <w:rPr>
          <w:rFonts w:ascii="Bookman Old Style" w:hAnsi="Bookman Old Style"/>
          <w:color w:val="000000"/>
        </w:rPr>
        <w:t xml:space="preserve"> </w:t>
      </w:r>
      <w:r w:rsidRPr="00BD1A8E">
        <w:rPr>
          <w:rFonts w:ascii="Bookman Old Style" w:hAnsi="Bookman Old Style"/>
          <w:color w:val="221E1F"/>
        </w:rPr>
        <w:t>methodologies</w:t>
      </w:r>
      <w:r w:rsidRPr="00BD1A8E">
        <w:rPr>
          <w:rFonts w:ascii="Bookman Old Style" w:hAnsi="Bookman Old Style"/>
          <w:color w:val="000000"/>
        </w:rPr>
        <w:t xml:space="preserve"> </w:t>
      </w:r>
      <w:r w:rsidRPr="00BD1A8E">
        <w:rPr>
          <w:rFonts w:ascii="Bookman Old Style" w:hAnsi="Bookman Old Style"/>
          <w:color w:val="221E1F"/>
        </w:rPr>
        <w:t>for</w:t>
      </w:r>
      <w:r w:rsidRPr="00BD1A8E">
        <w:rPr>
          <w:rFonts w:ascii="Bookman Old Style" w:hAnsi="Bookman Old Style"/>
          <w:color w:val="000000"/>
        </w:rPr>
        <w:t xml:space="preserve"> </w:t>
      </w:r>
      <w:r w:rsidRPr="00BD1A8E">
        <w:rPr>
          <w:rFonts w:ascii="Bookman Old Style" w:hAnsi="Bookman Old Style"/>
          <w:color w:val="221E1F"/>
        </w:rPr>
        <w:t>impact</w:t>
      </w:r>
      <w:r w:rsidRPr="00BD1A8E">
        <w:rPr>
          <w:rFonts w:ascii="Bookman Old Style" w:hAnsi="Bookman Old Style"/>
          <w:color w:val="000000"/>
        </w:rPr>
        <w:t xml:space="preserve"> </w:t>
      </w:r>
      <w:r w:rsidRPr="00BD1A8E">
        <w:rPr>
          <w:rFonts w:ascii="Bookman Old Style" w:hAnsi="Bookman Old Style"/>
          <w:color w:val="221E1F"/>
        </w:rPr>
        <w:t>evaluation</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trade-related</w:t>
      </w:r>
      <w:r w:rsidRPr="00BD1A8E">
        <w:rPr>
          <w:rFonts w:ascii="Bookman Old Style" w:hAnsi="Bookman Old Style"/>
          <w:color w:val="000000"/>
        </w:rPr>
        <w:t xml:space="preserve"> </w:t>
      </w:r>
      <w:r w:rsidRPr="00BD1A8E">
        <w:rPr>
          <w:rFonts w:ascii="Bookman Old Style" w:hAnsi="Bookman Old Style"/>
          <w:color w:val="221E1F"/>
        </w:rPr>
        <w:t>interventions,</w:t>
      </w:r>
      <w:r w:rsidRPr="00BD1A8E">
        <w:rPr>
          <w:rFonts w:ascii="Bookman Old Style" w:hAnsi="Bookman Old Style"/>
          <w:color w:val="000000"/>
        </w:rPr>
        <w:t xml:space="preserve"> </w:t>
      </w:r>
      <w:r w:rsidRPr="00BD1A8E">
        <w:rPr>
          <w:rFonts w:ascii="Bookman Old Style" w:hAnsi="Bookman Old Style"/>
          <w:color w:val="221E1F"/>
        </w:rPr>
        <w:t>including</w:t>
      </w:r>
      <w:r w:rsidRPr="00BD1A8E">
        <w:rPr>
          <w:rFonts w:ascii="Bookman Old Style" w:hAnsi="Bookman Old Style"/>
          <w:color w:val="000000"/>
        </w:rPr>
        <w:t xml:space="preserve"> </w:t>
      </w:r>
      <w:r w:rsidRPr="00BD1A8E">
        <w:rPr>
          <w:rFonts w:ascii="Bookman Old Style" w:hAnsi="Bookman Old Style"/>
          <w:color w:val="221E1F"/>
        </w:rPr>
        <w:t>trade</w:t>
      </w:r>
      <w:r w:rsidRPr="00BD1A8E">
        <w:rPr>
          <w:rFonts w:ascii="Bookman Old Style" w:hAnsi="Bookman Old Style"/>
          <w:color w:val="000000"/>
        </w:rPr>
        <w:t xml:space="preserve"> </w:t>
      </w:r>
      <w:r w:rsidRPr="00BD1A8E">
        <w:rPr>
          <w:rFonts w:ascii="Bookman Old Style" w:hAnsi="Bookman Old Style"/>
          <w:color w:val="221E1F"/>
        </w:rPr>
        <w:t>facilitation</w:t>
      </w:r>
      <w:r w:rsidRPr="00BD1A8E">
        <w:rPr>
          <w:rFonts w:ascii="Bookman Old Style" w:hAnsi="Bookman Old Style"/>
          <w:color w:val="000000"/>
        </w:rPr>
        <w:t xml:space="preserve"> </w:t>
      </w:r>
      <w:r w:rsidRPr="00BD1A8E">
        <w:rPr>
          <w:rFonts w:ascii="Bookman Old Style" w:hAnsi="Bookman Old Style"/>
          <w:color w:val="221E1F"/>
        </w:rPr>
        <w:t>measures</w:t>
      </w:r>
      <w:r w:rsidRPr="00BD1A8E">
        <w:rPr>
          <w:rFonts w:ascii="Bookman Old Style" w:hAnsi="Bookman Old Style"/>
          <w:color w:val="000000"/>
        </w:rPr>
        <w:t xml:space="preserve"> </w:t>
      </w:r>
      <w:r w:rsidRPr="00BD1A8E">
        <w:rPr>
          <w:rFonts w:ascii="Bookman Old Style" w:hAnsi="Bookman Old Style"/>
          <w:color w:val="221E1F"/>
        </w:rPr>
        <w:t>(see</w:t>
      </w:r>
      <w:r w:rsidRPr="00BD1A8E">
        <w:rPr>
          <w:rFonts w:ascii="Bookman Old Style" w:hAnsi="Bookman Old Style"/>
          <w:color w:val="000000"/>
        </w:rPr>
        <w:t xml:space="preserve"> </w:t>
      </w:r>
      <w:r w:rsidRPr="00BD1A8E">
        <w:rPr>
          <w:rFonts w:ascii="Bookman Old Style" w:hAnsi="Bookman Old Style"/>
          <w:color w:val="221E1F"/>
        </w:rPr>
        <w:t>for</w:t>
      </w:r>
      <w:r w:rsidRPr="00BD1A8E">
        <w:rPr>
          <w:rFonts w:ascii="Bookman Old Style" w:hAnsi="Bookman Old Style"/>
          <w:color w:val="000000"/>
        </w:rPr>
        <w:t xml:space="preserve"> </w:t>
      </w:r>
      <w:r w:rsidRPr="00BD1A8E">
        <w:rPr>
          <w:rFonts w:ascii="Bookman Old Style" w:hAnsi="Bookman Old Style"/>
          <w:color w:val="221E1F"/>
        </w:rPr>
        <w:t>example</w:t>
      </w:r>
      <w:r w:rsidRPr="00BD1A8E">
        <w:rPr>
          <w:rFonts w:ascii="Bookman Old Style" w:hAnsi="Bookman Old Style"/>
          <w:color w:val="000000"/>
        </w:rPr>
        <w:t xml:space="preserve"> </w:t>
      </w:r>
      <w:r w:rsidRPr="00BD1A8E">
        <w:rPr>
          <w:rFonts w:ascii="Bookman Old Style" w:hAnsi="Bookman Old Style"/>
          <w:color w:val="221E1F"/>
        </w:rPr>
        <w:t>Cadot</w:t>
      </w:r>
      <w:r w:rsidRPr="00BD1A8E">
        <w:rPr>
          <w:rFonts w:ascii="Bookman Old Style" w:hAnsi="Bookman Old Style"/>
          <w:color w:val="000000"/>
        </w:rPr>
        <w:t xml:space="preserve"> </w:t>
      </w:r>
      <w:r w:rsidRPr="00BD1A8E">
        <w:rPr>
          <w:rFonts w:ascii="Bookman Old Style" w:hAnsi="Bookman Old Style"/>
          <w:iCs/>
          <w:color w:val="221E1F"/>
        </w:rPr>
        <w:t>et al</w:t>
      </w:r>
      <w:r w:rsidRPr="00BD1A8E">
        <w:rPr>
          <w:rFonts w:ascii="Bookman Old Style" w:hAnsi="Bookman Old Style"/>
          <w:color w:val="221E1F"/>
        </w:rPr>
        <w:t>. (2011)</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Fernandes</w:t>
      </w:r>
      <w:r w:rsidRPr="00BD1A8E">
        <w:rPr>
          <w:rFonts w:ascii="Bookman Old Style" w:hAnsi="Bookman Old Style"/>
          <w:color w:val="000000"/>
        </w:rPr>
        <w:t xml:space="preserve"> </w:t>
      </w:r>
      <w:r w:rsidRPr="00BD1A8E">
        <w:rPr>
          <w:rFonts w:ascii="Bookman Old Style" w:hAnsi="Bookman Old Style"/>
          <w:iCs/>
          <w:color w:val="221E1F"/>
        </w:rPr>
        <w:t>et al</w:t>
      </w:r>
      <w:r w:rsidRPr="00BD1A8E">
        <w:rPr>
          <w:rFonts w:ascii="Bookman Old Style" w:hAnsi="Bookman Old Style"/>
          <w:color w:val="221E1F"/>
        </w:rPr>
        <w:t>.</w:t>
      </w:r>
      <w:r w:rsidRPr="00BD1A8E">
        <w:rPr>
          <w:rFonts w:ascii="Bookman Old Style" w:hAnsi="Bookman Old Style"/>
          <w:color w:val="000000"/>
        </w:rPr>
        <w:t xml:space="preserve"> </w:t>
      </w:r>
      <w:r w:rsidRPr="00BD1A8E">
        <w:rPr>
          <w:rFonts w:ascii="Bookman Old Style" w:hAnsi="Bookman Old Style"/>
          <w:color w:val="221E1F"/>
        </w:rPr>
        <w:t>(2015)).</w:t>
      </w:r>
      <w:r w:rsidRPr="00BD1A8E">
        <w:rPr>
          <w:rFonts w:ascii="Bookman Old Style" w:hAnsi="Bookman Old Style"/>
          <w:color w:val="000000"/>
        </w:rPr>
        <w:t xml:space="preserve"> </w:t>
      </w:r>
      <w:r w:rsidRPr="00BD1A8E">
        <w:rPr>
          <w:rFonts w:ascii="Bookman Old Style" w:hAnsi="Bookman Old Style"/>
          <w:color w:val="221E1F"/>
        </w:rPr>
        <w:t>They</w:t>
      </w:r>
      <w:r w:rsidRPr="00BD1A8E">
        <w:rPr>
          <w:rFonts w:ascii="Bookman Old Style" w:hAnsi="Bookman Old Style"/>
          <w:color w:val="000000"/>
        </w:rPr>
        <w:t xml:space="preserve"> </w:t>
      </w:r>
      <w:r w:rsidRPr="00BD1A8E">
        <w:rPr>
          <w:rFonts w:ascii="Bookman Old Style" w:hAnsi="Bookman Old Style"/>
          <w:color w:val="221E1F"/>
        </w:rPr>
        <w:t>show</w:t>
      </w:r>
      <w:r w:rsidRPr="00BD1A8E">
        <w:rPr>
          <w:rFonts w:ascii="Bookman Old Style" w:hAnsi="Bookman Old Style"/>
          <w:color w:val="000000"/>
        </w:rPr>
        <w:t xml:space="preserve"> </w:t>
      </w:r>
      <w:r w:rsidRPr="00BD1A8E">
        <w:rPr>
          <w:rFonts w:ascii="Bookman Old Style" w:hAnsi="Bookman Old Style"/>
          <w:color w:val="221E1F"/>
        </w:rPr>
        <w:t>promise</w:t>
      </w:r>
      <w:r w:rsidRPr="00BD1A8E">
        <w:rPr>
          <w:rFonts w:ascii="Bookman Old Style" w:hAnsi="Bookman Old Style"/>
          <w:color w:val="000000"/>
        </w:rPr>
        <w:t xml:space="preserve"> </w:t>
      </w:r>
      <w:r w:rsidRPr="00BD1A8E">
        <w:rPr>
          <w:rFonts w:ascii="Bookman Old Style" w:hAnsi="Bookman Old Style"/>
          <w:color w:val="221E1F"/>
        </w:rPr>
        <w:t>suggesting</w:t>
      </w:r>
      <w:r w:rsidRPr="00BD1A8E">
        <w:rPr>
          <w:rFonts w:ascii="Bookman Old Style" w:hAnsi="Bookman Old Style"/>
          <w:color w:val="000000"/>
        </w:rPr>
        <w:t xml:space="preserve"> </w:t>
      </w:r>
      <w:r w:rsidRPr="00BD1A8E">
        <w:rPr>
          <w:rFonts w:ascii="Bookman Old Style" w:hAnsi="Bookman Old Style"/>
          <w:color w:val="221E1F"/>
        </w:rPr>
        <w:t>that</w:t>
      </w:r>
      <w:r w:rsidRPr="00BD1A8E">
        <w:rPr>
          <w:rFonts w:ascii="Bookman Old Style" w:hAnsi="Bookman Old Style"/>
          <w:color w:val="000000"/>
        </w:rPr>
        <w:t xml:space="preserve"> </w:t>
      </w:r>
      <w:r w:rsidRPr="00BD1A8E">
        <w:rPr>
          <w:rFonts w:ascii="Bookman Old Style" w:hAnsi="Bookman Old Style"/>
          <w:color w:val="221E1F"/>
        </w:rPr>
        <w:t>rigorous</w:t>
      </w:r>
      <w:r w:rsidRPr="00BD1A8E">
        <w:rPr>
          <w:rFonts w:ascii="Bookman Old Style" w:hAnsi="Bookman Old Style"/>
          <w:color w:val="000000"/>
        </w:rPr>
        <w:t xml:space="preserve"> </w:t>
      </w:r>
      <w:r w:rsidRPr="00BD1A8E">
        <w:rPr>
          <w:rFonts w:ascii="Bookman Old Style" w:hAnsi="Bookman Old Style"/>
          <w:color w:val="221E1F"/>
        </w:rPr>
        <w:t>impact</w:t>
      </w:r>
      <w:r w:rsidRPr="00BD1A8E">
        <w:rPr>
          <w:rFonts w:ascii="Bookman Old Style" w:hAnsi="Bookman Old Style"/>
          <w:color w:val="000000"/>
        </w:rPr>
        <w:t xml:space="preserve"> </w:t>
      </w:r>
      <w:r w:rsidRPr="00BD1A8E">
        <w:rPr>
          <w:rFonts w:ascii="Bookman Old Style" w:hAnsi="Bookman Old Style"/>
          <w:color w:val="221E1F"/>
        </w:rPr>
        <w:t>evaluation</w:t>
      </w:r>
      <w:r w:rsidRPr="00BD1A8E">
        <w:rPr>
          <w:rFonts w:ascii="Bookman Old Style" w:hAnsi="Bookman Old Style"/>
          <w:color w:val="000000"/>
        </w:rPr>
        <w:t xml:space="preserve"> </w:t>
      </w:r>
      <w:r w:rsidRPr="00BD1A8E">
        <w:rPr>
          <w:rFonts w:ascii="Bookman Old Style" w:hAnsi="Bookman Old Style"/>
          <w:color w:val="221E1F"/>
        </w:rPr>
        <w:t>is</w:t>
      </w:r>
      <w:r w:rsidRPr="00BD1A8E">
        <w:rPr>
          <w:rFonts w:ascii="Bookman Old Style" w:hAnsi="Bookman Old Style"/>
          <w:color w:val="000000"/>
        </w:rPr>
        <w:t xml:space="preserve"> </w:t>
      </w:r>
      <w:r w:rsidRPr="00BD1A8E">
        <w:rPr>
          <w:rFonts w:ascii="Bookman Old Style" w:hAnsi="Bookman Old Style"/>
          <w:color w:val="221E1F"/>
        </w:rPr>
        <w:t>possible</w:t>
      </w:r>
      <w:r w:rsidRPr="00BD1A8E">
        <w:rPr>
          <w:rFonts w:ascii="Bookman Old Style" w:hAnsi="Bookman Old Style"/>
          <w:color w:val="000000"/>
        </w:rPr>
        <w:t xml:space="preserve"> </w:t>
      </w:r>
      <w:r w:rsidRPr="00BD1A8E">
        <w:rPr>
          <w:rFonts w:ascii="Bookman Old Style" w:hAnsi="Bookman Old Style"/>
          <w:color w:val="221E1F"/>
        </w:rPr>
        <w:t>even</w:t>
      </w:r>
      <w:r w:rsidRPr="00BD1A8E">
        <w:rPr>
          <w:rFonts w:ascii="Bookman Old Style" w:hAnsi="Bookman Old Style"/>
          <w:color w:val="000000"/>
        </w:rPr>
        <w:t xml:space="preserve"> </w:t>
      </w:r>
      <w:r w:rsidRPr="00BD1A8E">
        <w:rPr>
          <w:rFonts w:ascii="Bookman Old Style" w:hAnsi="Bookman Old Style"/>
          <w:color w:val="221E1F"/>
        </w:rPr>
        <w:t>without</w:t>
      </w:r>
      <w:r w:rsidRPr="00BD1A8E">
        <w:rPr>
          <w:rFonts w:ascii="Bookman Old Style" w:hAnsi="Bookman Old Style"/>
          <w:color w:val="000000"/>
        </w:rPr>
        <w:t xml:space="preserve"> </w:t>
      </w:r>
      <w:r w:rsidRPr="00BD1A8E">
        <w:rPr>
          <w:rFonts w:ascii="Bookman Old Style" w:hAnsi="Bookman Old Style"/>
          <w:color w:val="221E1F"/>
        </w:rPr>
        <w:t>randomized</w:t>
      </w:r>
      <w:r w:rsidRPr="00BD1A8E">
        <w:rPr>
          <w:rFonts w:ascii="Bookman Old Style" w:hAnsi="Bookman Old Style"/>
          <w:color w:val="000000"/>
        </w:rPr>
        <w:t xml:space="preserve"> </w:t>
      </w:r>
      <w:r w:rsidRPr="00BD1A8E">
        <w:rPr>
          <w:rFonts w:ascii="Bookman Old Style" w:hAnsi="Bookman Old Style"/>
          <w:color w:val="221E1F"/>
        </w:rPr>
        <w:t>trials,</w:t>
      </w:r>
      <w:r w:rsidRPr="00BD1A8E">
        <w:rPr>
          <w:rFonts w:ascii="Bookman Old Style" w:hAnsi="Bookman Old Style"/>
          <w:color w:val="000000"/>
        </w:rPr>
        <w:t xml:space="preserve"> </w:t>
      </w:r>
      <w:r w:rsidRPr="00BD1A8E">
        <w:rPr>
          <w:rFonts w:ascii="Bookman Old Style" w:hAnsi="Bookman Old Style"/>
          <w:color w:val="221E1F"/>
        </w:rPr>
        <w:t>which</w:t>
      </w:r>
      <w:r w:rsidRPr="00BD1A8E">
        <w:rPr>
          <w:rFonts w:ascii="Bookman Old Style" w:hAnsi="Bookman Old Style"/>
          <w:color w:val="000000"/>
        </w:rPr>
        <w:t xml:space="preserve"> </w:t>
      </w:r>
      <w:r w:rsidRPr="00BD1A8E">
        <w:rPr>
          <w:rFonts w:ascii="Bookman Old Style" w:hAnsi="Bookman Old Style"/>
          <w:color w:val="221E1F"/>
        </w:rPr>
        <w:t>are</w:t>
      </w:r>
      <w:r w:rsidRPr="00BD1A8E">
        <w:rPr>
          <w:rFonts w:ascii="Bookman Old Style" w:hAnsi="Bookman Old Style"/>
          <w:color w:val="000000"/>
        </w:rPr>
        <w:t xml:space="preserve"> </w:t>
      </w:r>
      <w:r w:rsidRPr="00BD1A8E">
        <w:rPr>
          <w:rFonts w:ascii="Bookman Old Style" w:hAnsi="Bookman Old Style"/>
          <w:color w:val="221E1F"/>
        </w:rPr>
        <w:t>typically</w:t>
      </w:r>
      <w:r w:rsidRPr="00BD1A8E">
        <w:rPr>
          <w:rFonts w:ascii="Bookman Old Style" w:hAnsi="Bookman Old Style"/>
          <w:color w:val="000000"/>
        </w:rPr>
        <w:t xml:space="preserve"> </w:t>
      </w:r>
      <w:r w:rsidRPr="00BD1A8E">
        <w:rPr>
          <w:rFonts w:ascii="Bookman Old Style" w:hAnsi="Bookman Old Style"/>
          <w:color w:val="221E1F"/>
        </w:rPr>
        <w:t>considered</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be</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gold</w:t>
      </w:r>
      <w:r w:rsidRPr="00BD1A8E">
        <w:rPr>
          <w:rFonts w:ascii="Bookman Old Style" w:hAnsi="Bookman Old Style"/>
          <w:color w:val="000000"/>
        </w:rPr>
        <w:t xml:space="preserve"> </w:t>
      </w:r>
      <w:r w:rsidRPr="00BD1A8E">
        <w:rPr>
          <w:rFonts w:ascii="Bookman Old Style" w:hAnsi="Bookman Old Style"/>
          <w:color w:val="221E1F"/>
        </w:rPr>
        <w:t>standard.</w:t>
      </w:r>
      <w:r w:rsidRPr="00BD1A8E">
        <w:rPr>
          <w:rFonts w:ascii="Bookman Old Style" w:hAnsi="Bookman Old Style"/>
          <w:color w:val="000000"/>
        </w:rPr>
        <w:t xml:space="preserve"> </w:t>
      </w:r>
    </w:p>
    <w:p w14:paraId="4EB4771B" w14:textId="77777777" w:rsidR="00FB5722" w:rsidRPr="00BD1A8E" w:rsidRDefault="00FB5722" w:rsidP="00FB5722">
      <w:pPr>
        <w:pStyle w:val="Pa11"/>
        <w:jc w:val="both"/>
        <w:rPr>
          <w:rFonts w:ascii="Bookman Old Style" w:hAnsi="Bookman Old Style"/>
          <w:color w:val="221E1F"/>
        </w:rPr>
      </w:pPr>
    </w:p>
    <w:p w14:paraId="7C4A2DE8" w14:textId="77777777" w:rsidR="00FB5722" w:rsidRPr="00BD1A8E" w:rsidRDefault="00FB5722" w:rsidP="00FB5722">
      <w:pPr>
        <w:pStyle w:val="Pa11"/>
        <w:jc w:val="both"/>
        <w:rPr>
          <w:rFonts w:ascii="Bookman Old Style" w:hAnsi="Bookman Old Style"/>
          <w:color w:val="000000"/>
        </w:rPr>
      </w:pPr>
      <w:r w:rsidRPr="00BD1A8E">
        <w:rPr>
          <w:rFonts w:ascii="Bookman Old Style" w:hAnsi="Bookman Old Style"/>
          <w:color w:val="221E1F"/>
        </w:rPr>
        <w:t>Good</w:t>
      </w:r>
      <w:r w:rsidRPr="00BD1A8E">
        <w:rPr>
          <w:rFonts w:ascii="Bookman Old Style" w:hAnsi="Bookman Old Style"/>
          <w:color w:val="000000"/>
        </w:rPr>
        <w:t xml:space="preserve"> </w:t>
      </w:r>
      <w:r w:rsidRPr="00BD1A8E">
        <w:rPr>
          <w:rFonts w:ascii="Bookman Old Style" w:hAnsi="Bookman Old Style"/>
          <w:color w:val="221E1F"/>
        </w:rPr>
        <w:t>data,</w:t>
      </w:r>
      <w:r w:rsidRPr="00BD1A8E">
        <w:rPr>
          <w:rFonts w:ascii="Bookman Old Style" w:hAnsi="Bookman Old Style"/>
          <w:color w:val="000000"/>
        </w:rPr>
        <w:t xml:space="preserve"> </w:t>
      </w:r>
      <w:r w:rsidRPr="00BD1A8E">
        <w:rPr>
          <w:rFonts w:ascii="Bookman Old Style" w:hAnsi="Bookman Old Style"/>
          <w:color w:val="221E1F"/>
        </w:rPr>
        <w:t>indicators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analytical</w:t>
      </w:r>
      <w:r w:rsidRPr="00BD1A8E">
        <w:rPr>
          <w:rFonts w:ascii="Bookman Old Style" w:hAnsi="Bookman Old Style"/>
          <w:color w:val="000000"/>
        </w:rPr>
        <w:t xml:space="preserve"> </w:t>
      </w:r>
      <w:r w:rsidRPr="00BD1A8E">
        <w:rPr>
          <w:rFonts w:ascii="Bookman Old Style" w:hAnsi="Bookman Old Style"/>
          <w:color w:val="221E1F"/>
        </w:rPr>
        <w:t>tools</w:t>
      </w:r>
      <w:r w:rsidRPr="00BD1A8E">
        <w:rPr>
          <w:rFonts w:ascii="Bookman Old Style" w:hAnsi="Bookman Old Style"/>
          <w:color w:val="000000"/>
        </w:rPr>
        <w:t xml:space="preserve"> </w:t>
      </w:r>
      <w:r w:rsidRPr="00BD1A8E">
        <w:rPr>
          <w:rFonts w:ascii="Bookman Old Style" w:hAnsi="Bookman Old Style"/>
          <w:color w:val="221E1F"/>
        </w:rPr>
        <w:t>are</w:t>
      </w:r>
      <w:r w:rsidRPr="00BD1A8E">
        <w:rPr>
          <w:rFonts w:ascii="Bookman Old Style" w:hAnsi="Bookman Old Style"/>
          <w:color w:val="000000"/>
        </w:rPr>
        <w:t xml:space="preserve"> </w:t>
      </w:r>
      <w:r w:rsidRPr="00BD1A8E">
        <w:rPr>
          <w:rFonts w:ascii="Bookman Old Style" w:hAnsi="Bookman Old Style"/>
          <w:color w:val="221E1F"/>
        </w:rPr>
        <w:t>required</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effectively</w:t>
      </w:r>
      <w:r w:rsidRPr="00BD1A8E">
        <w:rPr>
          <w:rFonts w:ascii="Bookman Old Style" w:hAnsi="Bookman Old Style"/>
          <w:color w:val="000000"/>
        </w:rPr>
        <w:t xml:space="preserve"> </w:t>
      </w:r>
      <w:r w:rsidRPr="00BD1A8E">
        <w:rPr>
          <w:rFonts w:ascii="Bookman Old Style" w:hAnsi="Bookman Old Style"/>
          <w:color w:val="221E1F"/>
        </w:rPr>
        <w:t>monitor</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evaluate</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economic</w:t>
      </w:r>
      <w:r w:rsidRPr="00BD1A8E">
        <w:rPr>
          <w:rFonts w:ascii="Bookman Old Style" w:hAnsi="Bookman Old Style"/>
          <w:color w:val="000000"/>
        </w:rPr>
        <w:t xml:space="preserve"> </w:t>
      </w:r>
      <w:r w:rsidRPr="00BD1A8E">
        <w:rPr>
          <w:rFonts w:ascii="Bookman Old Style" w:hAnsi="Bookman Old Style"/>
          <w:color w:val="221E1F"/>
        </w:rPr>
        <w:t>impact</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TFA.</w:t>
      </w:r>
      <w:r w:rsidRPr="00BD1A8E">
        <w:rPr>
          <w:rFonts w:ascii="Bookman Old Style" w:hAnsi="Bookman Old Style"/>
          <w:color w:val="000000"/>
        </w:rPr>
        <w:t xml:space="preserve"> </w:t>
      </w:r>
      <w:r w:rsidRPr="00BD1A8E">
        <w:rPr>
          <w:rFonts w:ascii="Bookman Old Style" w:hAnsi="Bookman Old Style"/>
          <w:color w:val="221E1F"/>
        </w:rPr>
        <w:t>One</w:t>
      </w:r>
      <w:r w:rsidRPr="00BD1A8E">
        <w:rPr>
          <w:rFonts w:ascii="Bookman Old Style" w:hAnsi="Bookman Old Style"/>
          <w:color w:val="000000"/>
        </w:rPr>
        <w:t xml:space="preserve"> </w:t>
      </w:r>
      <w:r w:rsidRPr="00BD1A8E">
        <w:rPr>
          <w:rFonts w:ascii="Bookman Old Style" w:hAnsi="Bookman Old Style"/>
          <w:color w:val="221E1F"/>
        </w:rPr>
        <w:t>important</w:t>
      </w:r>
      <w:r w:rsidRPr="00BD1A8E">
        <w:rPr>
          <w:rFonts w:ascii="Bookman Old Style" w:hAnsi="Bookman Old Style"/>
          <w:color w:val="000000"/>
        </w:rPr>
        <w:t xml:space="preserve"> </w:t>
      </w:r>
      <w:r w:rsidRPr="00BD1A8E">
        <w:rPr>
          <w:rFonts w:ascii="Bookman Old Style" w:hAnsi="Bookman Old Style"/>
          <w:color w:val="221E1F"/>
        </w:rPr>
        <w:t>constraint</w:t>
      </w:r>
      <w:r w:rsidRPr="00BD1A8E">
        <w:rPr>
          <w:rFonts w:ascii="Bookman Old Style" w:hAnsi="Bookman Old Style"/>
          <w:color w:val="000000"/>
        </w:rPr>
        <w:t xml:space="preserve"> </w:t>
      </w:r>
      <w:r w:rsidRPr="00BD1A8E">
        <w:rPr>
          <w:rFonts w:ascii="Bookman Old Style" w:hAnsi="Bookman Old Style"/>
          <w:color w:val="221E1F"/>
        </w:rPr>
        <w:t>encountered</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this</w:t>
      </w:r>
      <w:r w:rsidRPr="00BD1A8E">
        <w:rPr>
          <w:rFonts w:ascii="Bookman Old Style" w:hAnsi="Bookman Old Style"/>
          <w:color w:val="000000"/>
        </w:rPr>
        <w:t xml:space="preserve"> </w:t>
      </w:r>
      <w:r w:rsidRPr="00BD1A8E">
        <w:rPr>
          <w:rFonts w:ascii="Bookman Old Style" w:hAnsi="Bookman Old Style"/>
          <w:color w:val="221E1F"/>
        </w:rPr>
        <w:t>report</w:t>
      </w:r>
      <w:r w:rsidRPr="00BD1A8E">
        <w:rPr>
          <w:rFonts w:ascii="Bookman Old Style" w:hAnsi="Bookman Old Style"/>
          <w:color w:val="000000"/>
        </w:rPr>
        <w:t xml:space="preserve"> </w:t>
      </w:r>
      <w:r w:rsidRPr="00BD1A8E">
        <w:rPr>
          <w:rFonts w:ascii="Bookman Old Style" w:hAnsi="Bookman Old Style"/>
          <w:color w:val="221E1F"/>
        </w:rPr>
        <w:t>is</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paucity</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data</w:t>
      </w:r>
      <w:r w:rsidRPr="00BD1A8E">
        <w:rPr>
          <w:rFonts w:ascii="Bookman Old Style" w:hAnsi="Bookman Old Style"/>
          <w:color w:val="000000"/>
        </w:rPr>
        <w:t xml:space="preserve"> </w:t>
      </w:r>
      <w:r w:rsidRPr="00BD1A8E">
        <w:rPr>
          <w:rFonts w:ascii="Bookman Old Style" w:hAnsi="Bookman Old Style"/>
          <w:color w:val="221E1F"/>
        </w:rPr>
        <w:t>on</w:t>
      </w:r>
      <w:r w:rsidRPr="00BD1A8E">
        <w:rPr>
          <w:rFonts w:ascii="Bookman Old Style" w:hAnsi="Bookman Old Style"/>
          <w:color w:val="000000"/>
        </w:rPr>
        <w:t xml:space="preserve"> </w:t>
      </w:r>
      <w:r w:rsidRPr="00BD1A8E">
        <w:rPr>
          <w:rFonts w:ascii="Bookman Old Style" w:hAnsi="Bookman Old Style"/>
          <w:color w:val="221E1F"/>
        </w:rPr>
        <w:t>implementation</w:t>
      </w:r>
      <w:r w:rsidRPr="00BD1A8E">
        <w:rPr>
          <w:rFonts w:ascii="Bookman Old Style" w:hAnsi="Bookman Old Style"/>
          <w:color w:val="000000"/>
        </w:rPr>
        <w:t xml:space="preserve"> </w:t>
      </w:r>
      <w:r w:rsidRPr="00BD1A8E">
        <w:rPr>
          <w:rFonts w:ascii="Bookman Old Style" w:hAnsi="Bookman Old Style"/>
          <w:color w:val="221E1F"/>
        </w:rPr>
        <w:t>costs</w:t>
      </w:r>
      <w:r w:rsidRPr="00BD1A8E">
        <w:rPr>
          <w:rFonts w:ascii="Bookman Old Style" w:hAnsi="Bookman Old Style"/>
          <w:color w:val="000000"/>
        </w:rPr>
        <w:t xml:space="preserve"> </w:t>
      </w:r>
      <w:r w:rsidRPr="00BD1A8E">
        <w:rPr>
          <w:rFonts w:ascii="Bookman Old Style" w:hAnsi="Bookman Old Style"/>
          <w:color w:val="221E1F"/>
        </w:rPr>
        <w:t>despite</w:t>
      </w:r>
      <w:r w:rsidRPr="00BD1A8E">
        <w:rPr>
          <w:rFonts w:ascii="Bookman Old Style" w:hAnsi="Bookman Old Style"/>
          <w:color w:val="000000"/>
        </w:rPr>
        <w:t xml:space="preserve"> </w:t>
      </w:r>
      <w:r w:rsidRPr="00BD1A8E">
        <w:rPr>
          <w:rFonts w:ascii="Bookman Old Style" w:hAnsi="Bookman Old Style"/>
          <w:color w:val="221E1F"/>
        </w:rPr>
        <w:t>its</w:t>
      </w:r>
      <w:r w:rsidRPr="00BD1A8E">
        <w:rPr>
          <w:rFonts w:ascii="Bookman Old Style" w:hAnsi="Bookman Old Style"/>
          <w:color w:val="000000"/>
        </w:rPr>
        <w:t xml:space="preserve"> </w:t>
      </w:r>
      <w:r w:rsidRPr="00BD1A8E">
        <w:rPr>
          <w:rFonts w:ascii="Bookman Old Style" w:hAnsi="Bookman Old Style"/>
          <w:color w:val="221E1F"/>
        </w:rPr>
        <w:t>obvious</w:t>
      </w:r>
      <w:r w:rsidRPr="00BD1A8E">
        <w:rPr>
          <w:rFonts w:ascii="Bookman Old Style" w:hAnsi="Bookman Old Style"/>
          <w:color w:val="000000"/>
        </w:rPr>
        <w:t xml:space="preserve"> </w:t>
      </w:r>
      <w:r w:rsidRPr="00BD1A8E">
        <w:rPr>
          <w:rFonts w:ascii="Bookman Old Style" w:hAnsi="Bookman Old Style"/>
          <w:color w:val="221E1F"/>
        </w:rPr>
        <w:t>importance</w:t>
      </w:r>
      <w:r w:rsidRPr="00BD1A8E">
        <w:rPr>
          <w:rFonts w:ascii="Bookman Old Style" w:hAnsi="Bookman Old Style"/>
          <w:color w:val="000000"/>
        </w:rPr>
        <w:t xml:space="preserve"> </w:t>
      </w:r>
      <w:r w:rsidRPr="00BD1A8E">
        <w:rPr>
          <w:rFonts w:ascii="Bookman Old Style" w:hAnsi="Bookman Old Style"/>
          <w:color w:val="221E1F"/>
        </w:rPr>
        <w:t>for</w:t>
      </w:r>
      <w:r w:rsidRPr="00BD1A8E">
        <w:rPr>
          <w:rFonts w:ascii="Bookman Old Style" w:hAnsi="Bookman Old Style"/>
          <w:color w:val="000000"/>
        </w:rPr>
        <w:t xml:space="preserve"> </w:t>
      </w:r>
      <w:r w:rsidRPr="00BD1A8E">
        <w:rPr>
          <w:rFonts w:ascii="Bookman Old Style" w:hAnsi="Bookman Old Style"/>
          <w:color w:val="221E1F"/>
        </w:rPr>
        <w:t>developing</w:t>
      </w:r>
      <w:r w:rsidRPr="00BD1A8E">
        <w:rPr>
          <w:rFonts w:ascii="Bookman Old Style" w:hAnsi="Bookman Old Style"/>
          <w:color w:val="000000"/>
        </w:rPr>
        <w:t xml:space="preserve"> </w:t>
      </w:r>
      <w:r w:rsidRPr="00BD1A8E">
        <w:rPr>
          <w:rFonts w:ascii="Bookman Old Style" w:hAnsi="Bookman Old Style"/>
          <w:color w:val="221E1F"/>
        </w:rPr>
        <w:t>countries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LDCs.</w:t>
      </w:r>
      <w:r w:rsidRPr="00BD1A8E">
        <w:rPr>
          <w:rFonts w:ascii="Bookman Old Style" w:hAnsi="Bookman Old Style"/>
          <w:color w:val="000000"/>
        </w:rPr>
        <w:t xml:space="preserve"> </w:t>
      </w:r>
      <w:r w:rsidRPr="00BD1A8E">
        <w:rPr>
          <w:rFonts w:ascii="Bookman Old Style" w:hAnsi="Bookman Old Style"/>
          <w:color w:val="221E1F"/>
        </w:rPr>
        <w:t>This</w:t>
      </w:r>
      <w:r w:rsidRPr="00BD1A8E">
        <w:rPr>
          <w:rFonts w:ascii="Bookman Old Style" w:hAnsi="Bookman Old Style"/>
          <w:color w:val="000000"/>
        </w:rPr>
        <w:t xml:space="preserve"> </w:t>
      </w:r>
      <w:r w:rsidRPr="00BD1A8E">
        <w:rPr>
          <w:rFonts w:ascii="Bookman Old Style" w:hAnsi="Bookman Old Style"/>
          <w:color w:val="221E1F"/>
        </w:rPr>
        <w:t>report</w:t>
      </w:r>
      <w:r w:rsidRPr="00BD1A8E">
        <w:rPr>
          <w:rFonts w:ascii="Bookman Old Style" w:hAnsi="Bookman Old Style"/>
          <w:color w:val="000000"/>
        </w:rPr>
        <w:t xml:space="preserve"> </w:t>
      </w:r>
      <w:r w:rsidRPr="00BD1A8E">
        <w:rPr>
          <w:rFonts w:ascii="Bookman Old Style" w:hAnsi="Bookman Old Style"/>
          <w:color w:val="221E1F"/>
        </w:rPr>
        <w:t>has</w:t>
      </w:r>
      <w:r w:rsidRPr="00BD1A8E">
        <w:rPr>
          <w:rFonts w:ascii="Bookman Old Style" w:hAnsi="Bookman Old Style"/>
          <w:color w:val="000000"/>
        </w:rPr>
        <w:t xml:space="preserve"> </w:t>
      </w:r>
      <w:r w:rsidRPr="00BD1A8E">
        <w:rPr>
          <w:rFonts w:ascii="Bookman Old Style" w:hAnsi="Bookman Old Style"/>
          <w:color w:val="221E1F"/>
        </w:rPr>
        <w:t>also</w:t>
      </w:r>
      <w:r w:rsidRPr="00BD1A8E">
        <w:rPr>
          <w:rFonts w:ascii="Bookman Old Style" w:hAnsi="Bookman Old Style"/>
          <w:color w:val="000000"/>
        </w:rPr>
        <w:t xml:space="preserve"> </w:t>
      </w:r>
      <w:r w:rsidRPr="00BD1A8E">
        <w:rPr>
          <w:rFonts w:ascii="Bookman Old Style" w:hAnsi="Bookman Old Style"/>
          <w:color w:val="221E1F"/>
        </w:rPr>
        <w:t>made</w:t>
      </w:r>
      <w:r w:rsidRPr="00BD1A8E">
        <w:rPr>
          <w:rFonts w:ascii="Bookman Old Style" w:hAnsi="Bookman Old Style"/>
          <w:color w:val="000000"/>
        </w:rPr>
        <w:t xml:space="preserve"> </w:t>
      </w:r>
      <w:r w:rsidRPr="00BD1A8E">
        <w:rPr>
          <w:rFonts w:ascii="Bookman Old Style" w:hAnsi="Bookman Old Style"/>
          <w:color w:val="221E1F"/>
        </w:rPr>
        <w:t>use</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a</w:t>
      </w:r>
      <w:r w:rsidRPr="00BD1A8E">
        <w:rPr>
          <w:rFonts w:ascii="Bookman Old Style" w:hAnsi="Bookman Old Style"/>
          <w:color w:val="000000"/>
        </w:rPr>
        <w:t xml:space="preserve"> </w:t>
      </w:r>
      <w:r w:rsidRPr="00BD1A8E">
        <w:rPr>
          <w:rFonts w:ascii="Bookman Old Style" w:hAnsi="Bookman Old Style"/>
          <w:color w:val="221E1F"/>
        </w:rPr>
        <w:t>number</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indicators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economic</w:t>
      </w:r>
      <w:r w:rsidRPr="00BD1A8E">
        <w:rPr>
          <w:rFonts w:ascii="Bookman Old Style" w:hAnsi="Bookman Old Style"/>
          <w:color w:val="000000"/>
        </w:rPr>
        <w:t xml:space="preserve"> </w:t>
      </w:r>
      <w:r w:rsidRPr="00BD1A8E">
        <w:rPr>
          <w:rFonts w:ascii="Bookman Old Style" w:hAnsi="Bookman Old Style"/>
          <w:color w:val="221E1F"/>
        </w:rPr>
        <w:t>tools</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estimate</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likely</w:t>
      </w:r>
      <w:r w:rsidRPr="00BD1A8E">
        <w:rPr>
          <w:rFonts w:ascii="Bookman Old Style" w:hAnsi="Bookman Old Style"/>
          <w:color w:val="000000"/>
        </w:rPr>
        <w:t xml:space="preserve"> </w:t>
      </w:r>
      <w:r w:rsidRPr="00BD1A8E">
        <w:rPr>
          <w:rFonts w:ascii="Bookman Old Style" w:hAnsi="Bookman Old Style"/>
          <w:color w:val="221E1F"/>
        </w:rPr>
        <w:t>benefits</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TFA.</w:t>
      </w:r>
      <w:r w:rsidRPr="00BD1A8E">
        <w:rPr>
          <w:rFonts w:ascii="Bookman Old Style" w:hAnsi="Bookman Old Style"/>
          <w:color w:val="000000"/>
        </w:rPr>
        <w:t xml:space="preserve"> </w:t>
      </w:r>
      <w:r w:rsidRPr="00BD1A8E">
        <w:rPr>
          <w:rFonts w:ascii="Bookman Old Style" w:hAnsi="Bookman Old Style"/>
          <w:color w:val="221E1F"/>
        </w:rPr>
        <w:t>While</w:t>
      </w:r>
      <w:r w:rsidRPr="00BD1A8E">
        <w:rPr>
          <w:rFonts w:ascii="Bookman Old Style" w:hAnsi="Bookman Old Style"/>
          <w:color w:val="000000"/>
        </w:rPr>
        <w:t xml:space="preserve"> </w:t>
      </w:r>
      <w:r w:rsidRPr="00BD1A8E">
        <w:rPr>
          <w:rFonts w:ascii="Bookman Old Style" w:hAnsi="Bookman Old Style"/>
          <w:color w:val="221E1F"/>
        </w:rPr>
        <w:t>there</w:t>
      </w:r>
      <w:r w:rsidRPr="00BD1A8E">
        <w:rPr>
          <w:rFonts w:ascii="Bookman Old Style" w:hAnsi="Bookman Old Style"/>
          <w:color w:val="000000"/>
        </w:rPr>
        <w:t xml:space="preserve"> </w:t>
      </w:r>
      <w:r w:rsidRPr="00BD1A8E">
        <w:rPr>
          <w:rFonts w:ascii="Bookman Old Style" w:hAnsi="Bookman Old Style"/>
          <w:color w:val="221E1F"/>
        </w:rPr>
        <w:t>is</w:t>
      </w:r>
      <w:r w:rsidRPr="00BD1A8E">
        <w:rPr>
          <w:rFonts w:ascii="Bookman Old Style" w:hAnsi="Bookman Old Style"/>
          <w:color w:val="000000"/>
        </w:rPr>
        <w:t xml:space="preserve"> </w:t>
      </w:r>
      <w:r w:rsidRPr="00BD1A8E">
        <w:rPr>
          <w:rFonts w:ascii="Bookman Old Style" w:hAnsi="Bookman Old Style"/>
          <w:color w:val="221E1F"/>
        </w:rPr>
        <w:t>no</w:t>
      </w:r>
      <w:r w:rsidRPr="00BD1A8E">
        <w:rPr>
          <w:rFonts w:ascii="Bookman Old Style" w:hAnsi="Bookman Old Style"/>
          <w:color w:val="000000"/>
        </w:rPr>
        <w:t xml:space="preserve"> </w:t>
      </w:r>
      <w:r w:rsidRPr="00BD1A8E">
        <w:rPr>
          <w:rFonts w:ascii="Bookman Old Style" w:hAnsi="Bookman Old Style"/>
          <w:color w:val="221E1F"/>
        </w:rPr>
        <w:t>question</w:t>
      </w:r>
      <w:r w:rsidRPr="00BD1A8E">
        <w:rPr>
          <w:rFonts w:ascii="Bookman Old Style" w:hAnsi="Bookman Old Style"/>
          <w:color w:val="000000"/>
        </w:rPr>
        <w:t xml:space="preserve"> </w:t>
      </w:r>
      <w:r w:rsidRPr="00BD1A8E">
        <w:rPr>
          <w:rFonts w:ascii="Bookman Old Style" w:hAnsi="Bookman Old Style"/>
          <w:color w:val="221E1F"/>
        </w:rPr>
        <w:t>about</w:t>
      </w:r>
      <w:r w:rsidRPr="00BD1A8E">
        <w:rPr>
          <w:rFonts w:ascii="Bookman Old Style" w:hAnsi="Bookman Old Style"/>
          <w:color w:val="000000"/>
        </w:rPr>
        <w:t xml:space="preserve"> </w:t>
      </w:r>
      <w:r w:rsidRPr="00BD1A8E">
        <w:rPr>
          <w:rFonts w:ascii="Bookman Old Style" w:hAnsi="Bookman Old Style"/>
          <w:color w:val="221E1F"/>
        </w:rPr>
        <w:t>their</w:t>
      </w:r>
      <w:r w:rsidRPr="00BD1A8E">
        <w:rPr>
          <w:rFonts w:ascii="Bookman Old Style" w:hAnsi="Bookman Old Style"/>
          <w:color w:val="000000"/>
        </w:rPr>
        <w:t xml:space="preserve"> </w:t>
      </w:r>
      <w:r w:rsidRPr="00BD1A8E">
        <w:rPr>
          <w:rFonts w:ascii="Bookman Old Style" w:hAnsi="Bookman Old Style"/>
          <w:color w:val="221E1F"/>
        </w:rPr>
        <w:t>reliability</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usefulness,</w:t>
      </w:r>
      <w:r w:rsidRPr="00BD1A8E">
        <w:rPr>
          <w:rFonts w:ascii="Bookman Old Style" w:hAnsi="Bookman Old Style"/>
          <w:color w:val="000000"/>
        </w:rPr>
        <w:t xml:space="preserve"> </w:t>
      </w:r>
      <w:r w:rsidRPr="00BD1A8E">
        <w:rPr>
          <w:rFonts w:ascii="Bookman Old Style" w:hAnsi="Bookman Old Style"/>
          <w:color w:val="221E1F"/>
        </w:rPr>
        <w:t>they</w:t>
      </w:r>
      <w:r w:rsidRPr="00BD1A8E">
        <w:rPr>
          <w:rFonts w:ascii="Bookman Old Style" w:hAnsi="Bookman Old Style"/>
          <w:color w:val="000000"/>
        </w:rPr>
        <w:t xml:space="preserve"> </w:t>
      </w:r>
      <w:r w:rsidRPr="00BD1A8E">
        <w:rPr>
          <w:rFonts w:ascii="Bookman Old Style" w:hAnsi="Bookman Old Style"/>
          <w:color w:val="221E1F"/>
        </w:rPr>
        <w:t>are</w:t>
      </w:r>
      <w:r w:rsidRPr="00BD1A8E">
        <w:rPr>
          <w:rFonts w:ascii="Bookman Old Style" w:hAnsi="Bookman Old Style"/>
          <w:color w:val="000000"/>
        </w:rPr>
        <w:t xml:space="preserve"> </w:t>
      </w:r>
      <w:r w:rsidRPr="00BD1A8E">
        <w:rPr>
          <w:rFonts w:ascii="Bookman Old Style" w:hAnsi="Bookman Old Style"/>
          <w:color w:val="221E1F"/>
        </w:rPr>
        <w:t>by</w:t>
      </w:r>
      <w:r w:rsidRPr="00BD1A8E">
        <w:rPr>
          <w:rFonts w:ascii="Bookman Old Style" w:hAnsi="Bookman Old Style"/>
          <w:color w:val="000000"/>
        </w:rPr>
        <w:t xml:space="preserve"> </w:t>
      </w:r>
      <w:r w:rsidRPr="00BD1A8E">
        <w:rPr>
          <w:rFonts w:ascii="Bookman Old Style" w:hAnsi="Bookman Old Style"/>
          <w:color w:val="221E1F"/>
        </w:rPr>
        <w:t>no</w:t>
      </w:r>
      <w:r w:rsidRPr="00BD1A8E">
        <w:rPr>
          <w:rFonts w:ascii="Bookman Old Style" w:hAnsi="Bookman Old Style"/>
          <w:color w:val="000000"/>
        </w:rPr>
        <w:t xml:space="preserve"> </w:t>
      </w:r>
      <w:r w:rsidRPr="00BD1A8E">
        <w:rPr>
          <w:rFonts w:ascii="Bookman Old Style" w:hAnsi="Bookman Old Style"/>
          <w:color w:val="221E1F"/>
        </w:rPr>
        <w:t>means</w:t>
      </w:r>
      <w:r w:rsidRPr="00BD1A8E">
        <w:rPr>
          <w:rFonts w:ascii="Bookman Old Style" w:hAnsi="Bookman Old Style"/>
          <w:color w:val="000000"/>
        </w:rPr>
        <w:t xml:space="preserve"> </w:t>
      </w:r>
      <w:r w:rsidRPr="00BD1A8E">
        <w:rPr>
          <w:rFonts w:ascii="Bookman Old Style" w:hAnsi="Bookman Old Style"/>
          <w:color w:val="221E1F"/>
        </w:rPr>
        <w:t>perfect</w:t>
      </w:r>
      <w:r w:rsidRPr="00BD1A8E">
        <w:rPr>
          <w:rFonts w:ascii="Bookman Old Style" w:hAnsi="Bookman Old Style"/>
          <w:color w:val="000000"/>
        </w:rPr>
        <w:t xml:space="preserve"> </w:t>
      </w:r>
      <w:r w:rsidRPr="00BD1A8E">
        <w:rPr>
          <w:rFonts w:ascii="Bookman Old Style" w:hAnsi="Bookman Old Style"/>
          <w:color w:val="221E1F"/>
        </w:rPr>
        <w:t>because</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among</w:t>
      </w:r>
      <w:r w:rsidRPr="00BD1A8E">
        <w:rPr>
          <w:rFonts w:ascii="Bookman Old Style" w:hAnsi="Bookman Old Style"/>
          <w:color w:val="000000"/>
        </w:rPr>
        <w:t xml:space="preserve"> </w:t>
      </w:r>
      <w:r w:rsidRPr="00BD1A8E">
        <w:rPr>
          <w:rFonts w:ascii="Bookman Old Style" w:hAnsi="Bookman Old Style"/>
          <w:color w:val="221E1F"/>
        </w:rPr>
        <w:t>other</w:t>
      </w:r>
      <w:r w:rsidRPr="00BD1A8E">
        <w:rPr>
          <w:rFonts w:ascii="Bookman Old Style" w:hAnsi="Bookman Old Style"/>
          <w:color w:val="000000"/>
        </w:rPr>
        <w:t xml:space="preserve"> </w:t>
      </w:r>
      <w:r w:rsidRPr="00BD1A8E">
        <w:rPr>
          <w:rFonts w:ascii="Bookman Old Style" w:hAnsi="Bookman Old Style"/>
          <w:color w:val="221E1F"/>
        </w:rPr>
        <w:t>issues,</w:t>
      </w:r>
      <w:r w:rsidRPr="00BD1A8E">
        <w:rPr>
          <w:rFonts w:ascii="Bookman Old Style" w:hAnsi="Bookman Old Style"/>
          <w:color w:val="000000"/>
        </w:rPr>
        <w:t xml:space="preserve"> </w:t>
      </w:r>
      <w:r w:rsidRPr="00BD1A8E">
        <w:rPr>
          <w:rFonts w:ascii="Bookman Old Style" w:hAnsi="Bookman Old Style"/>
          <w:color w:val="221E1F"/>
        </w:rPr>
        <w:t>limited</w:t>
      </w:r>
      <w:r w:rsidRPr="00BD1A8E">
        <w:rPr>
          <w:rFonts w:ascii="Bookman Old Style" w:hAnsi="Bookman Old Style"/>
          <w:color w:val="000000"/>
        </w:rPr>
        <w:t xml:space="preserve"> </w:t>
      </w:r>
      <w:r w:rsidRPr="00BD1A8E">
        <w:rPr>
          <w:rFonts w:ascii="Bookman Old Style" w:hAnsi="Bookman Old Style"/>
          <w:color w:val="221E1F"/>
        </w:rPr>
        <w:t>country</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historical</w:t>
      </w:r>
      <w:r w:rsidRPr="00BD1A8E">
        <w:rPr>
          <w:rFonts w:ascii="Bookman Old Style" w:hAnsi="Bookman Old Style"/>
          <w:color w:val="000000"/>
        </w:rPr>
        <w:t xml:space="preserve"> </w:t>
      </w:r>
      <w:r w:rsidRPr="00BD1A8E">
        <w:rPr>
          <w:rFonts w:ascii="Bookman Old Style" w:hAnsi="Bookman Old Style"/>
          <w:color w:val="221E1F"/>
        </w:rPr>
        <w:t>coverage.</w:t>
      </w:r>
      <w:r w:rsidRPr="00BD1A8E">
        <w:rPr>
          <w:rFonts w:ascii="Bookman Old Style" w:hAnsi="Bookman Old Style"/>
          <w:color w:val="000000"/>
        </w:rPr>
        <w:t xml:space="preserve"> </w:t>
      </w:r>
      <w:r w:rsidRPr="00BD1A8E">
        <w:rPr>
          <w:rFonts w:ascii="Bookman Old Style" w:hAnsi="Bookman Old Style"/>
          <w:color w:val="221E1F"/>
        </w:rPr>
        <w:t>This</w:t>
      </w:r>
      <w:r w:rsidRPr="00BD1A8E">
        <w:rPr>
          <w:rFonts w:ascii="Bookman Old Style" w:hAnsi="Bookman Old Style"/>
          <w:color w:val="000000"/>
        </w:rPr>
        <w:t xml:space="preserve"> </w:t>
      </w:r>
      <w:r w:rsidRPr="00BD1A8E">
        <w:rPr>
          <w:rFonts w:ascii="Bookman Old Style" w:hAnsi="Bookman Old Style"/>
          <w:color w:val="221E1F"/>
        </w:rPr>
        <w:t>should</w:t>
      </w:r>
      <w:r w:rsidRPr="00BD1A8E">
        <w:rPr>
          <w:rFonts w:ascii="Bookman Old Style" w:hAnsi="Bookman Old Style"/>
          <w:color w:val="000000"/>
        </w:rPr>
        <w:t xml:space="preserve"> </w:t>
      </w:r>
      <w:r w:rsidRPr="00BD1A8E">
        <w:rPr>
          <w:rFonts w:ascii="Bookman Old Style" w:hAnsi="Bookman Old Style"/>
          <w:color w:val="221E1F"/>
        </w:rPr>
        <w:t>motivate</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WTO,</w:t>
      </w:r>
      <w:r w:rsidRPr="00BD1A8E">
        <w:rPr>
          <w:rFonts w:ascii="Bookman Old Style" w:hAnsi="Bookman Old Style"/>
          <w:color w:val="000000"/>
        </w:rPr>
        <w:t xml:space="preserve"> </w:t>
      </w:r>
      <w:r w:rsidRPr="00BD1A8E">
        <w:rPr>
          <w:rFonts w:ascii="Bookman Old Style" w:hAnsi="Bookman Old Style"/>
          <w:color w:val="221E1F"/>
        </w:rPr>
        <w:t>in</w:t>
      </w:r>
      <w:r w:rsidRPr="00BD1A8E">
        <w:rPr>
          <w:rFonts w:ascii="Bookman Old Style" w:hAnsi="Bookman Old Style"/>
          <w:color w:val="000000"/>
        </w:rPr>
        <w:t xml:space="preserve"> </w:t>
      </w:r>
      <w:r w:rsidRPr="00BD1A8E">
        <w:rPr>
          <w:rFonts w:ascii="Bookman Old Style" w:hAnsi="Bookman Old Style"/>
          <w:color w:val="221E1F"/>
        </w:rPr>
        <w:t>conjunction</w:t>
      </w:r>
      <w:r w:rsidRPr="00BD1A8E">
        <w:rPr>
          <w:rFonts w:ascii="Bookman Old Style" w:hAnsi="Bookman Old Style"/>
          <w:color w:val="000000"/>
        </w:rPr>
        <w:t xml:space="preserve"> </w:t>
      </w:r>
      <w:r w:rsidRPr="00BD1A8E">
        <w:rPr>
          <w:rFonts w:ascii="Bookman Old Style" w:hAnsi="Bookman Old Style"/>
          <w:color w:val="221E1F"/>
        </w:rPr>
        <w:t>with</w:t>
      </w:r>
      <w:r w:rsidRPr="00BD1A8E">
        <w:rPr>
          <w:rFonts w:ascii="Bookman Old Style" w:hAnsi="Bookman Old Style"/>
          <w:color w:val="000000"/>
        </w:rPr>
        <w:t xml:space="preserve"> </w:t>
      </w:r>
      <w:r w:rsidRPr="00BD1A8E">
        <w:rPr>
          <w:rFonts w:ascii="Bookman Old Style" w:hAnsi="Bookman Old Style"/>
          <w:color w:val="221E1F"/>
        </w:rPr>
        <w:t>other</w:t>
      </w:r>
      <w:r w:rsidRPr="00BD1A8E">
        <w:rPr>
          <w:rFonts w:ascii="Bookman Old Style" w:hAnsi="Bookman Old Style"/>
          <w:color w:val="000000"/>
        </w:rPr>
        <w:t xml:space="preserve"> </w:t>
      </w:r>
      <w:r w:rsidRPr="00BD1A8E">
        <w:rPr>
          <w:rFonts w:ascii="Bookman Old Style" w:hAnsi="Bookman Old Style"/>
          <w:color w:val="221E1F"/>
        </w:rPr>
        <w:t>international</w:t>
      </w:r>
      <w:r w:rsidRPr="00BD1A8E">
        <w:rPr>
          <w:rFonts w:ascii="Bookman Old Style" w:hAnsi="Bookman Old Style"/>
          <w:color w:val="000000"/>
        </w:rPr>
        <w:t xml:space="preserve"> </w:t>
      </w:r>
      <w:r w:rsidRPr="00BD1A8E">
        <w:rPr>
          <w:rFonts w:ascii="Bookman Old Style" w:hAnsi="Bookman Old Style"/>
          <w:color w:val="221E1F"/>
        </w:rPr>
        <w:t>organizations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regional</w:t>
      </w:r>
      <w:r w:rsidRPr="00BD1A8E">
        <w:rPr>
          <w:rFonts w:ascii="Bookman Old Style" w:hAnsi="Bookman Old Style"/>
          <w:color w:val="000000"/>
        </w:rPr>
        <w:t xml:space="preserve"> </w:t>
      </w:r>
      <w:r w:rsidRPr="00BD1A8E">
        <w:rPr>
          <w:rFonts w:ascii="Bookman Old Style" w:hAnsi="Bookman Old Style"/>
          <w:color w:val="221E1F"/>
        </w:rPr>
        <w:t>development</w:t>
      </w:r>
      <w:r w:rsidRPr="00BD1A8E">
        <w:rPr>
          <w:rFonts w:ascii="Bookman Old Style" w:hAnsi="Bookman Old Style"/>
          <w:color w:val="000000"/>
        </w:rPr>
        <w:t xml:space="preserve"> </w:t>
      </w:r>
      <w:r w:rsidRPr="00BD1A8E">
        <w:rPr>
          <w:rFonts w:ascii="Bookman Old Style" w:hAnsi="Bookman Old Style"/>
          <w:color w:val="221E1F"/>
        </w:rPr>
        <w:t>banks,</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pool</w:t>
      </w:r>
      <w:r w:rsidRPr="00BD1A8E">
        <w:rPr>
          <w:rFonts w:ascii="Bookman Old Style" w:hAnsi="Bookman Old Style"/>
          <w:color w:val="000000"/>
        </w:rPr>
        <w:t xml:space="preserve"> </w:t>
      </w:r>
      <w:r w:rsidRPr="00BD1A8E">
        <w:rPr>
          <w:rFonts w:ascii="Bookman Old Style" w:hAnsi="Bookman Old Style"/>
          <w:color w:val="221E1F"/>
        </w:rPr>
        <w:t>resources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expertise</w:t>
      </w:r>
      <w:r w:rsidRPr="00BD1A8E">
        <w:rPr>
          <w:rFonts w:ascii="Bookman Old Style" w:hAnsi="Bookman Old Style"/>
          <w:color w:val="000000"/>
        </w:rPr>
        <w:t xml:space="preserve"> </w:t>
      </w:r>
      <w:r w:rsidRPr="00BD1A8E">
        <w:rPr>
          <w:rFonts w:ascii="Bookman Old Style" w:hAnsi="Bookman Old Style"/>
          <w:color w:val="221E1F"/>
        </w:rPr>
        <w:t>so</w:t>
      </w:r>
      <w:r w:rsidRPr="00BD1A8E">
        <w:rPr>
          <w:rFonts w:ascii="Bookman Old Style" w:hAnsi="Bookman Old Style"/>
          <w:color w:val="000000"/>
        </w:rPr>
        <w:t xml:space="preserve"> </w:t>
      </w:r>
      <w:r w:rsidRPr="00BD1A8E">
        <w:rPr>
          <w:rFonts w:ascii="Bookman Old Style" w:hAnsi="Bookman Old Style"/>
          <w:color w:val="221E1F"/>
        </w:rPr>
        <w:t>that</w:t>
      </w:r>
      <w:r w:rsidRPr="00BD1A8E">
        <w:rPr>
          <w:rFonts w:ascii="Bookman Old Style" w:hAnsi="Bookman Old Style"/>
          <w:color w:val="000000"/>
        </w:rPr>
        <w:t xml:space="preserve"> </w:t>
      </w:r>
      <w:r w:rsidRPr="00BD1A8E">
        <w:rPr>
          <w:rFonts w:ascii="Bookman Old Style" w:hAnsi="Bookman Old Style"/>
          <w:color w:val="221E1F"/>
        </w:rPr>
        <w:t>more</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better</w:t>
      </w:r>
      <w:r w:rsidRPr="00BD1A8E">
        <w:rPr>
          <w:rFonts w:ascii="Bookman Old Style" w:hAnsi="Bookman Old Style"/>
          <w:color w:val="000000"/>
        </w:rPr>
        <w:t xml:space="preserve"> </w:t>
      </w:r>
      <w:r w:rsidRPr="00BD1A8E">
        <w:rPr>
          <w:rFonts w:ascii="Bookman Old Style" w:hAnsi="Bookman Old Style"/>
          <w:color w:val="221E1F"/>
        </w:rPr>
        <w:t>data</w:t>
      </w:r>
      <w:r w:rsidRPr="00BD1A8E">
        <w:rPr>
          <w:rFonts w:ascii="Bookman Old Style" w:hAnsi="Bookman Old Style"/>
          <w:color w:val="000000"/>
        </w:rPr>
        <w:t xml:space="preserve"> </w:t>
      </w:r>
      <w:r w:rsidRPr="00BD1A8E">
        <w:rPr>
          <w:rFonts w:ascii="Bookman Old Style" w:hAnsi="Bookman Old Style"/>
          <w:color w:val="221E1F"/>
        </w:rPr>
        <w:t>are</w:t>
      </w:r>
      <w:r w:rsidRPr="00BD1A8E">
        <w:rPr>
          <w:rFonts w:ascii="Bookman Old Style" w:hAnsi="Bookman Old Style"/>
          <w:color w:val="000000"/>
        </w:rPr>
        <w:t xml:space="preserve"> </w:t>
      </w:r>
      <w:r w:rsidRPr="00BD1A8E">
        <w:rPr>
          <w:rFonts w:ascii="Bookman Old Style" w:hAnsi="Bookman Old Style"/>
          <w:color w:val="221E1F"/>
        </w:rPr>
        <w:t>collected,</w:t>
      </w:r>
      <w:r w:rsidRPr="00BD1A8E">
        <w:rPr>
          <w:rFonts w:ascii="Bookman Old Style" w:hAnsi="Bookman Old Style"/>
          <w:color w:val="000000"/>
        </w:rPr>
        <w:t xml:space="preserve"> </w:t>
      </w:r>
      <w:r w:rsidRPr="00BD1A8E">
        <w:rPr>
          <w:rFonts w:ascii="Bookman Old Style" w:hAnsi="Bookman Old Style"/>
          <w:color w:val="221E1F"/>
        </w:rPr>
        <w:t>existing</w:t>
      </w:r>
      <w:r w:rsidRPr="00BD1A8E">
        <w:rPr>
          <w:rFonts w:ascii="Bookman Old Style" w:hAnsi="Bookman Old Style"/>
          <w:color w:val="000000"/>
        </w:rPr>
        <w:t xml:space="preserve"> </w:t>
      </w:r>
      <w:r w:rsidRPr="00BD1A8E">
        <w:rPr>
          <w:rFonts w:ascii="Bookman Old Style" w:hAnsi="Bookman Old Style"/>
          <w:color w:val="221E1F"/>
        </w:rPr>
        <w:t>indicators</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analytic</w:t>
      </w:r>
      <w:r w:rsidRPr="00BD1A8E">
        <w:rPr>
          <w:rFonts w:ascii="Bookman Old Style" w:hAnsi="Bookman Old Style"/>
          <w:color w:val="000000"/>
        </w:rPr>
        <w:t xml:space="preserve"> </w:t>
      </w:r>
      <w:r w:rsidRPr="00BD1A8E">
        <w:rPr>
          <w:rFonts w:ascii="Bookman Old Style" w:hAnsi="Bookman Old Style"/>
          <w:color w:val="221E1F"/>
        </w:rPr>
        <w:t>tools</w:t>
      </w:r>
      <w:r w:rsidRPr="00BD1A8E">
        <w:rPr>
          <w:rFonts w:ascii="Bookman Old Style" w:hAnsi="Bookman Old Style"/>
          <w:color w:val="000000"/>
        </w:rPr>
        <w:t xml:space="preserve"> </w:t>
      </w:r>
      <w:r w:rsidRPr="00BD1A8E">
        <w:rPr>
          <w:rFonts w:ascii="Bookman Old Style" w:hAnsi="Bookman Old Style"/>
          <w:color w:val="221E1F"/>
        </w:rPr>
        <w:t>are</w:t>
      </w:r>
      <w:r w:rsidRPr="00BD1A8E">
        <w:rPr>
          <w:rFonts w:ascii="Bookman Old Style" w:hAnsi="Bookman Old Style"/>
          <w:color w:val="000000"/>
        </w:rPr>
        <w:t xml:space="preserve"> </w:t>
      </w:r>
      <w:r w:rsidRPr="00BD1A8E">
        <w:rPr>
          <w:rFonts w:ascii="Bookman Old Style" w:hAnsi="Bookman Old Style"/>
          <w:color w:val="221E1F"/>
        </w:rPr>
        <w:t>improved</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where</w:t>
      </w:r>
      <w:r w:rsidRPr="00BD1A8E">
        <w:rPr>
          <w:rFonts w:ascii="Bookman Old Style" w:hAnsi="Bookman Old Style"/>
          <w:color w:val="000000"/>
        </w:rPr>
        <w:t xml:space="preserve"> </w:t>
      </w:r>
      <w:r w:rsidRPr="00BD1A8E">
        <w:rPr>
          <w:rFonts w:ascii="Bookman Old Style" w:hAnsi="Bookman Old Style"/>
          <w:color w:val="221E1F"/>
        </w:rPr>
        <w:t>necessary,</w:t>
      </w:r>
      <w:r w:rsidRPr="00BD1A8E">
        <w:rPr>
          <w:rFonts w:ascii="Bookman Old Style" w:hAnsi="Bookman Old Style"/>
          <w:color w:val="000000"/>
        </w:rPr>
        <w:t xml:space="preserve"> </w:t>
      </w:r>
      <w:r w:rsidRPr="00BD1A8E">
        <w:rPr>
          <w:rFonts w:ascii="Bookman Old Style" w:hAnsi="Bookman Old Style"/>
          <w:color w:val="221E1F"/>
        </w:rPr>
        <w:t>new</w:t>
      </w:r>
      <w:r w:rsidRPr="00BD1A8E">
        <w:rPr>
          <w:rFonts w:ascii="Bookman Old Style" w:hAnsi="Bookman Old Style"/>
          <w:color w:val="000000"/>
        </w:rPr>
        <w:t xml:space="preserve"> </w:t>
      </w:r>
      <w:r w:rsidRPr="00BD1A8E">
        <w:rPr>
          <w:rFonts w:ascii="Bookman Old Style" w:hAnsi="Bookman Old Style"/>
          <w:color w:val="221E1F"/>
        </w:rPr>
        <w:t>ones</w:t>
      </w:r>
      <w:r w:rsidRPr="00BD1A8E">
        <w:rPr>
          <w:rFonts w:ascii="Bookman Old Style" w:hAnsi="Bookman Old Style"/>
          <w:color w:val="000000"/>
        </w:rPr>
        <w:t xml:space="preserve"> </w:t>
      </w:r>
      <w:r w:rsidRPr="00BD1A8E">
        <w:rPr>
          <w:rFonts w:ascii="Bookman Old Style" w:hAnsi="Bookman Old Style"/>
          <w:color w:val="221E1F"/>
        </w:rPr>
        <w:t>developed</w:t>
      </w:r>
      <w:r w:rsidRPr="00BD1A8E">
        <w:rPr>
          <w:rFonts w:ascii="Bookman Old Style" w:hAnsi="Bookman Old Style"/>
          <w:color w:val="000000"/>
        </w:rPr>
        <w:t xml:space="preserve"> </w:t>
      </w:r>
      <w:r w:rsidRPr="00BD1A8E">
        <w:rPr>
          <w:rFonts w:ascii="Bookman Old Style" w:hAnsi="Bookman Old Style"/>
          <w:color w:val="221E1F"/>
        </w:rPr>
        <w:t>so</w:t>
      </w:r>
      <w:r w:rsidRPr="00BD1A8E">
        <w:rPr>
          <w:rFonts w:ascii="Bookman Old Style" w:hAnsi="Bookman Old Style"/>
          <w:color w:val="000000"/>
        </w:rPr>
        <w:t xml:space="preserve"> </w:t>
      </w:r>
      <w:r w:rsidRPr="00BD1A8E">
        <w:rPr>
          <w:rFonts w:ascii="Bookman Old Style" w:hAnsi="Bookman Old Style"/>
          <w:color w:val="221E1F"/>
        </w:rPr>
        <w:t>as</w:t>
      </w:r>
      <w:r w:rsidRPr="00BD1A8E">
        <w:rPr>
          <w:rFonts w:ascii="Bookman Old Style" w:hAnsi="Bookman Old Style"/>
          <w:color w:val="000000"/>
        </w:rPr>
        <w:t xml:space="preserve"> </w:t>
      </w:r>
      <w:r w:rsidRPr="00BD1A8E">
        <w:rPr>
          <w:rFonts w:ascii="Bookman Old Style" w:hAnsi="Bookman Old Style"/>
          <w:color w:val="221E1F"/>
        </w:rPr>
        <w:t>to</w:t>
      </w:r>
      <w:r w:rsidRPr="00BD1A8E">
        <w:rPr>
          <w:rFonts w:ascii="Bookman Old Style" w:hAnsi="Bookman Old Style"/>
          <w:color w:val="000000"/>
        </w:rPr>
        <w:t xml:space="preserve"> </w:t>
      </w:r>
      <w:r w:rsidRPr="00BD1A8E">
        <w:rPr>
          <w:rFonts w:ascii="Bookman Old Style" w:hAnsi="Bookman Old Style"/>
          <w:color w:val="221E1F"/>
        </w:rPr>
        <w:t>effectively</w:t>
      </w:r>
      <w:r w:rsidRPr="00BD1A8E">
        <w:rPr>
          <w:rFonts w:ascii="Bookman Old Style" w:hAnsi="Bookman Old Style"/>
          <w:color w:val="000000"/>
        </w:rPr>
        <w:t xml:space="preserve"> </w:t>
      </w:r>
      <w:r w:rsidRPr="00BD1A8E">
        <w:rPr>
          <w:rFonts w:ascii="Bookman Old Style" w:hAnsi="Bookman Old Style"/>
          <w:color w:val="221E1F"/>
        </w:rPr>
        <w:t>monitor</w:t>
      </w:r>
      <w:r w:rsidRPr="00BD1A8E">
        <w:rPr>
          <w:rFonts w:ascii="Bookman Old Style" w:hAnsi="Bookman Old Style"/>
          <w:color w:val="000000"/>
        </w:rPr>
        <w:t xml:space="preserve"> </w:t>
      </w:r>
      <w:r w:rsidRPr="00BD1A8E">
        <w:rPr>
          <w:rFonts w:ascii="Bookman Old Style" w:hAnsi="Bookman Old Style"/>
          <w:color w:val="221E1F"/>
        </w:rPr>
        <w:t>and</w:t>
      </w:r>
      <w:r w:rsidRPr="00BD1A8E">
        <w:rPr>
          <w:rFonts w:ascii="Bookman Old Style" w:hAnsi="Bookman Old Style"/>
          <w:color w:val="000000"/>
        </w:rPr>
        <w:t xml:space="preserve"> </w:t>
      </w:r>
      <w:r w:rsidRPr="00BD1A8E">
        <w:rPr>
          <w:rFonts w:ascii="Bookman Old Style" w:hAnsi="Bookman Old Style"/>
          <w:color w:val="221E1F"/>
        </w:rPr>
        <w:t>evaluate</w:t>
      </w:r>
      <w:r w:rsidRPr="00BD1A8E">
        <w:rPr>
          <w:rFonts w:ascii="Bookman Old Style" w:hAnsi="Bookman Old Style"/>
          <w:color w:val="000000"/>
        </w:rPr>
        <w:t xml:space="preserve"> </w:t>
      </w:r>
      <w:r w:rsidRPr="00BD1A8E">
        <w:rPr>
          <w:rFonts w:ascii="Bookman Old Style" w:hAnsi="Bookman Old Style"/>
          <w:color w:val="221E1F"/>
        </w:rPr>
        <w:t>implementation</w:t>
      </w:r>
      <w:r w:rsidRPr="00BD1A8E">
        <w:rPr>
          <w:rFonts w:ascii="Bookman Old Style" w:hAnsi="Bookman Old Style"/>
          <w:color w:val="000000"/>
        </w:rPr>
        <w:t xml:space="preserve"> </w:t>
      </w:r>
      <w:r w:rsidRPr="00BD1A8E">
        <w:rPr>
          <w:rFonts w:ascii="Bookman Old Style" w:hAnsi="Bookman Old Style"/>
          <w:color w:val="221E1F"/>
        </w:rPr>
        <w:t>of</w:t>
      </w:r>
      <w:r w:rsidRPr="00BD1A8E">
        <w:rPr>
          <w:rFonts w:ascii="Bookman Old Style" w:hAnsi="Bookman Old Style"/>
          <w:color w:val="000000"/>
        </w:rPr>
        <w:t xml:space="preserve"> </w:t>
      </w:r>
      <w:r w:rsidRPr="00BD1A8E">
        <w:rPr>
          <w:rFonts w:ascii="Bookman Old Style" w:hAnsi="Bookman Old Style"/>
          <w:color w:val="221E1F"/>
        </w:rPr>
        <w:t>the</w:t>
      </w:r>
      <w:r w:rsidRPr="00BD1A8E">
        <w:rPr>
          <w:rFonts w:ascii="Bookman Old Style" w:hAnsi="Bookman Old Style"/>
          <w:color w:val="000000"/>
        </w:rPr>
        <w:t xml:space="preserve"> </w:t>
      </w:r>
      <w:r w:rsidRPr="00BD1A8E">
        <w:rPr>
          <w:rFonts w:ascii="Bookman Old Style" w:hAnsi="Bookman Old Style"/>
          <w:color w:val="221E1F"/>
        </w:rPr>
        <w:t>TFA.</w:t>
      </w:r>
      <w:r w:rsidRPr="00BD1A8E">
        <w:rPr>
          <w:rFonts w:ascii="Bookman Old Style" w:hAnsi="Bookman Old Style"/>
          <w:color w:val="000000"/>
        </w:rPr>
        <w:t xml:space="preserve"> </w:t>
      </w:r>
    </w:p>
    <w:p w14:paraId="44D01B16" w14:textId="77777777" w:rsidR="00FB5722" w:rsidRPr="00BD1A8E" w:rsidRDefault="00FB5722" w:rsidP="00FB5722">
      <w:pPr>
        <w:jc w:val="both"/>
        <w:rPr>
          <w:rFonts w:ascii="Bookman Old Style" w:hAnsi="Bookman Old Style"/>
          <w:sz w:val="24"/>
          <w:szCs w:val="24"/>
        </w:rPr>
      </w:pPr>
    </w:p>
    <w:p w14:paraId="7EABF3EE" w14:textId="77777777" w:rsidR="00FB5722" w:rsidRPr="00BD1A8E" w:rsidRDefault="00FB5722" w:rsidP="00FB5722">
      <w:pPr>
        <w:jc w:val="both"/>
        <w:rPr>
          <w:rFonts w:ascii="Bookman Old Style" w:hAnsi="Bookman Old Style"/>
          <w:sz w:val="24"/>
          <w:szCs w:val="24"/>
        </w:rPr>
      </w:pPr>
      <w:r w:rsidRPr="00BD1A8E">
        <w:rPr>
          <w:rFonts w:ascii="Bookman Old Style" w:hAnsi="Bookman Old Style"/>
          <w:sz w:val="24"/>
          <w:szCs w:val="24"/>
        </w:rPr>
        <w:t xml:space="preserve">Countries have been implementing trade facilitation measures for several years and no country is starting from zero. Many of these countries are concerned about the benefits and costs of implementing TFA. The most challenging measures to implement are measures related to border agency cooperation, trade-related formalities and information publication while measures related to transparency and the release and clearance of goods tend to entail lower implementation. TFAF’s key role is to match and coordinate countries requesting technical assistance with countries supplying capacity building and technical assistance. Strong political commitment at the highest level is the most important success factor in implementing trade facilitation measures and not financial resources which is also very important. </w:t>
      </w:r>
    </w:p>
    <w:p w14:paraId="25B9E29B" w14:textId="77777777" w:rsidR="00FB5722" w:rsidRPr="00BD1A8E" w:rsidRDefault="00FB5722" w:rsidP="00FB5722">
      <w:pPr>
        <w:jc w:val="both"/>
        <w:rPr>
          <w:rFonts w:ascii="Bookman Old Style" w:hAnsi="Bookman Old Style"/>
          <w:sz w:val="24"/>
          <w:szCs w:val="24"/>
        </w:rPr>
      </w:pPr>
      <w:r w:rsidRPr="00BD1A8E">
        <w:rPr>
          <w:rFonts w:ascii="Bookman Old Style" w:hAnsi="Bookman Old Style"/>
          <w:sz w:val="24"/>
          <w:szCs w:val="24"/>
        </w:rPr>
        <w:t>Finally, it is important and essential to monitor implementation of the TFA once it comes into force. Suggested solutions to challenges of implementing the Trade Facilitation Agreement are</w:t>
      </w:r>
    </w:p>
    <w:p w14:paraId="67371292" w14:textId="77777777" w:rsidR="00FB5722" w:rsidRPr="00BD1A8E" w:rsidRDefault="00FB5722" w:rsidP="00FB5722">
      <w:pPr>
        <w:pStyle w:val="ListParagraph"/>
        <w:numPr>
          <w:ilvl w:val="0"/>
          <w:numId w:val="65"/>
        </w:numPr>
        <w:spacing w:after="200" w:line="276" w:lineRule="auto"/>
        <w:jc w:val="both"/>
        <w:rPr>
          <w:rFonts w:ascii="Bookman Old Style" w:hAnsi="Bookman Old Style"/>
          <w:sz w:val="24"/>
          <w:szCs w:val="24"/>
        </w:rPr>
      </w:pPr>
      <w:r w:rsidRPr="00BD1A8E">
        <w:rPr>
          <w:rFonts w:ascii="Bookman Old Style" w:hAnsi="Bookman Old Style"/>
          <w:sz w:val="24"/>
          <w:szCs w:val="24"/>
        </w:rPr>
        <w:t>Credible estimates of the benefits of TFA should be given to bolster support for the agreement.</w:t>
      </w:r>
    </w:p>
    <w:p w14:paraId="46D06911" w14:textId="77777777" w:rsidR="00FB5722" w:rsidRPr="00BD1A8E" w:rsidRDefault="00FB5722" w:rsidP="00FB5722">
      <w:pPr>
        <w:pStyle w:val="ListParagraph"/>
        <w:numPr>
          <w:ilvl w:val="0"/>
          <w:numId w:val="65"/>
        </w:numPr>
        <w:spacing w:after="200" w:line="276" w:lineRule="auto"/>
        <w:jc w:val="both"/>
        <w:rPr>
          <w:rFonts w:ascii="Bookman Old Style" w:hAnsi="Bookman Old Style"/>
          <w:sz w:val="24"/>
          <w:szCs w:val="24"/>
        </w:rPr>
      </w:pPr>
      <w:r w:rsidRPr="00BD1A8E">
        <w:rPr>
          <w:rFonts w:ascii="Bookman Old Style" w:hAnsi="Bookman Old Style"/>
          <w:sz w:val="24"/>
          <w:szCs w:val="24"/>
        </w:rPr>
        <w:t xml:space="preserve">TFAF should coordinate and match developing and least-developed countries requesting technical assistance with countries supplying capacity building and technical assistance. </w:t>
      </w:r>
    </w:p>
    <w:p w14:paraId="445B9EF2" w14:textId="77777777" w:rsidR="00FB5722" w:rsidRPr="00BD1A8E" w:rsidRDefault="00FB5722" w:rsidP="00FB5722">
      <w:pPr>
        <w:pStyle w:val="ListParagraph"/>
        <w:numPr>
          <w:ilvl w:val="0"/>
          <w:numId w:val="65"/>
        </w:numPr>
        <w:spacing w:after="200" w:line="276" w:lineRule="auto"/>
        <w:jc w:val="both"/>
        <w:rPr>
          <w:rFonts w:ascii="Bookman Old Style" w:hAnsi="Bookman Old Style"/>
          <w:sz w:val="24"/>
          <w:szCs w:val="24"/>
        </w:rPr>
      </w:pPr>
      <w:r w:rsidRPr="00BD1A8E">
        <w:rPr>
          <w:rFonts w:ascii="Bookman Old Style" w:hAnsi="Bookman Old Style"/>
          <w:sz w:val="24"/>
          <w:szCs w:val="24"/>
        </w:rPr>
        <w:lastRenderedPageBreak/>
        <w:t>Impact and evaluation studies need to be carried out to monitor the operations of the agreement (both implementation costs and economic impacts).</w:t>
      </w:r>
    </w:p>
    <w:p w14:paraId="09ED87BA" w14:textId="77777777" w:rsidR="00FB5722" w:rsidRDefault="00FB5722" w:rsidP="00FB5722">
      <w:pPr>
        <w:pStyle w:val="ListParagraph"/>
        <w:numPr>
          <w:ilvl w:val="0"/>
          <w:numId w:val="65"/>
        </w:numPr>
        <w:spacing w:after="200" w:line="276" w:lineRule="auto"/>
        <w:jc w:val="both"/>
        <w:rPr>
          <w:rFonts w:ascii="Bookman Old Style" w:hAnsi="Bookman Old Style"/>
          <w:sz w:val="24"/>
          <w:szCs w:val="24"/>
        </w:rPr>
      </w:pPr>
      <w:r w:rsidRPr="00BD1A8E">
        <w:rPr>
          <w:rFonts w:ascii="Bookman Old Style" w:hAnsi="Bookman Old Style"/>
          <w:sz w:val="24"/>
          <w:szCs w:val="24"/>
        </w:rPr>
        <w:t>Strong political support and commitment.</w:t>
      </w:r>
    </w:p>
    <w:p w14:paraId="4E2E9F66" w14:textId="614488B1" w:rsidR="00AF6713" w:rsidRDefault="00AF6713" w:rsidP="00FB5722">
      <w:pPr>
        <w:spacing w:after="200" w:line="276" w:lineRule="auto"/>
        <w:jc w:val="both"/>
        <w:rPr>
          <w:rFonts w:ascii="Bookman Old Style" w:hAnsi="Bookman Old Style"/>
          <w:sz w:val="24"/>
          <w:szCs w:val="24"/>
        </w:rPr>
      </w:pPr>
    </w:p>
    <w:p w14:paraId="1D3CDB40" w14:textId="77777777" w:rsidR="00D33433" w:rsidRDefault="00D33433" w:rsidP="00FB5722">
      <w:pPr>
        <w:spacing w:after="200" w:line="276" w:lineRule="auto"/>
        <w:jc w:val="both"/>
        <w:rPr>
          <w:rFonts w:ascii="Bookman Old Style" w:hAnsi="Bookman Old Style"/>
          <w:sz w:val="24"/>
          <w:szCs w:val="24"/>
        </w:rPr>
      </w:pPr>
    </w:p>
    <w:p w14:paraId="6DA5EF42" w14:textId="77777777" w:rsidR="00FB5722" w:rsidRDefault="00FB5722" w:rsidP="00FB5722">
      <w:pPr>
        <w:spacing w:after="200" w:line="276" w:lineRule="auto"/>
        <w:jc w:val="both"/>
        <w:rPr>
          <w:rFonts w:ascii="Bookman Old Style" w:hAnsi="Bookman Old Style"/>
          <w:sz w:val="24"/>
          <w:szCs w:val="24"/>
        </w:rPr>
      </w:pPr>
    </w:p>
    <w:p w14:paraId="11D8A3B3" w14:textId="2E5D88F6" w:rsidR="00FB5722" w:rsidRPr="00FB5722" w:rsidRDefault="00D33433" w:rsidP="00FB5722">
      <w:pPr>
        <w:spacing w:after="200" w:line="276" w:lineRule="auto"/>
        <w:jc w:val="both"/>
        <w:rPr>
          <w:rFonts w:ascii="Bookman Old Style" w:hAnsi="Bookman Old Style"/>
          <w:b/>
          <w:sz w:val="24"/>
          <w:szCs w:val="24"/>
        </w:rPr>
      </w:pPr>
      <w:r>
        <w:rPr>
          <w:rFonts w:ascii="Bookman Old Style" w:hAnsi="Bookman Old Style"/>
          <w:b/>
          <w:sz w:val="24"/>
          <w:szCs w:val="24"/>
        </w:rPr>
        <w:t xml:space="preserve">Section 6: Summary and </w:t>
      </w:r>
      <w:r w:rsidR="00FB5722" w:rsidRPr="00FB5722">
        <w:rPr>
          <w:rFonts w:ascii="Bookman Old Style" w:hAnsi="Bookman Old Style"/>
          <w:b/>
          <w:sz w:val="24"/>
          <w:szCs w:val="24"/>
        </w:rPr>
        <w:t>Conclusion</w:t>
      </w:r>
    </w:p>
    <w:p w14:paraId="78FADA5A" w14:textId="0307E413" w:rsidR="00DA627C" w:rsidRDefault="00D33433" w:rsidP="00FB5722">
      <w:pPr>
        <w:spacing w:after="200" w:line="276" w:lineRule="auto"/>
        <w:jc w:val="both"/>
        <w:rPr>
          <w:rFonts w:ascii="Bookman Old Style" w:hAnsi="Bookman Old Style"/>
          <w:sz w:val="24"/>
          <w:szCs w:val="24"/>
        </w:rPr>
      </w:pPr>
      <w:r w:rsidRPr="00D33433">
        <w:rPr>
          <w:rFonts w:ascii="Bookman Old Style" w:hAnsi="Bookman Old Style"/>
          <w:sz w:val="24"/>
          <w:szCs w:val="24"/>
        </w:rPr>
        <w:t>The objective of the stu</w:t>
      </w:r>
      <w:r>
        <w:rPr>
          <w:rFonts w:ascii="Bookman Old Style" w:hAnsi="Bookman Old Style"/>
          <w:sz w:val="24"/>
          <w:szCs w:val="24"/>
        </w:rPr>
        <w:t xml:space="preserve">dy was to review Nigeria export initiatives and strategies </w:t>
      </w:r>
      <w:r w:rsidR="00344F09">
        <w:rPr>
          <w:rFonts w:ascii="Bookman Old Style" w:hAnsi="Bookman Old Style"/>
          <w:sz w:val="24"/>
          <w:szCs w:val="24"/>
        </w:rPr>
        <w:t>by assessing level of readiness for non-oil export push. Recommendations from the report is to inform conversations at the non-oil export retreat.</w:t>
      </w:r>
      <w:r w:rsidR="00DA627C">
        <w:rPr>
          <w:rFonts w:ascii="Bookman Old Style" w:hAnsi="Bookman Old Style"/>
          <w:sz w:val="24"/>
          <w:szCs w:val="24"/>
        </w:rPr>
        <w:t xml:space="preserve"> The study shows that </w:t>
      </w:r>
      <w:r w:rsidR="00DA627C" w:rsidRPr="00DA627C">
        <w:rPr>
          <w:rFonts w:ascii="Bookman Old Style" w:hAnsi="Bookman Old Style"/>
          <w:sz w:val="24"/>
          <w:szCs w:val="24"/>
        </w:rPr>
        <w:t>inability of the funding interv</w:t>
      </w:r>
      <w:r w:rsidR="00DA627C">
        <w:rPr>
          <w:rFonts w:ascii="Bookman Old Style" w:hAnsi="Bookman Old Style"/>
          <w:sz w:val="24"/>
          <w:szCs w:val="24"/>
        </w:rPr>
        <w:t>entions/initiatives and incentives</w:t>
      </w:r>
      <w:r w:rsidR="00DA627C" w:rsidRPr="00DA627C">
        <w:rPr>
          <w:rFonts w:ascii="Bookman Old Style" w:hAnsi="Bookman Old Style"/>
          <w:sz w:val="24"/>
          <w:szCs w:val="24"/>
        </w:rPr>
        <w:t xml:space="preserve"> to significantly improve our non-oil export is an indication of the existence of other deep rooted issues that urgently needs to be addressed, issues such as having a geo-mapping across all sub-sectors of our agricultural sector with a comprehensive audit of existing production capacity and to forecast required investment with a view to determining the best way to support each sub-sector, this would provide insights into what sort of financing services is needed by each sub-sector and what combination of non-financial intervention is needed by each to thrive</w:t>
      </w:r>
      <w:r w:rsidR="00DA627C">
        <w:rPr>
          <w:rFonts w:ascii="Bookman Old Style" w:hAnsi="Bookman Old Style"/>
          <w:sz w:val="24"/>
          <w:szCs w:val="24"/>
        </w:rPr>
        <w:t>.</w:t>
      </w:r>
    </w:p>
    <w:p w14:paraId="5C1DFE9F" w14:textId="2BF5D633" w:rsidR="00DA627C" w:rsidRDefault="00DA627C" w:rsidP="00FB5722">
      <w:pPr>
        <w:spacing w:after="200" w:line="276" w:lineRule="auto"/>
        <w:jc w:val="both"/>
        <w:rPr>
          <w:rFonts w:ascii="Bookman Old Style" w:hAnsi="Bookman Old Style"/>
          <w:sz w:val="24"/>
          <w:szCs w:val="24"/>
        </w:rPr>
      </w:pPr>
      <w:r w:rsidRPr="00DA627C">
        <w:rPr>
          <w:rFonts w:ascii="Bookman Old Style" w:hAnsi="Bookman Old Style"/>
          <w:sz w:val="24"/>
          <w:szCs w:val="24"/>
        </w:rPr>
        <w:t xml:space="preserve">The study has been able to show that Nigeria needs to recognize the fact that the </w:t>
      </w:r>
      <w:r>
        <w:rPr>
          <w:rFonts w:ascii="Bookman Old Style" w:hAnsi="Bookman Old Style"/>
          <w:sz w:val="24"/>
          <w:szCs w:val="24"/>
        </w:rPr>
        <w:t>it</w:t>
      </w:r>
      <w:r w:rsidR="00CA2BAC">
        <w:rPr>
          <w:rFonts w:ascii="Bookman Old Style" w:hAnsi="Bookman Old Style"/>
          <w:sz w:val="24"/>
          <w:szCs w:val="24"/>
        </w:rPr>
        <w:t xml:space="preserve">s future lies in non-oil export and there should be a coherence strategy to jumpstart export. This is one means of realising </w:t>
      </w:r>
      <w:r w:rsidR="00CA2BAC" w:rsidRPr="00CA2BAC">
        <w:rPr>
          <w:rFonts w:ascii="Bookman Old Style" w:hAnsi="Bookman Old Style"/>
          <w:sz w:val="24"/>
          <w:szCs w:val="24"/>
        </w:rPr>
        <w:t>Nigeria’s vision of economic development, growth, and social peace through the introduction of measure</w:t>
      </w:r>
      <w:r w:rsidR="00CA2BAC">
        <w:rPr>
          <w:rFonts w:ascii="Bookman Old Style" w:hAnsi="Bookman Old Style"/>
          <w:sz w:val="24"/>
          <w:szCs w:val="24"/>
        </w:rPr>
        <w:t>s that facilitate export. P</w:t>
      </w:r>
      <w:r w:rsidR="00CA2BAC" w:rsidRPr="00CA2BAC">
        <w:rPr>
          <w:rFonts w:ascii="Bookman Old Style" w:hAnsi="Bookman Old Style"/>
          <w:sz w:val="24"/>
          <w:szCs w:val="24"/>
        </w:rPr>
        <w:t>romote efficient value addition to agriculture and industrial processes in areas of competitive advantage; promote the development of backward integration policy for creating self</w:t>
      </w:r>
      <w:r w:rsidR="00CA2BAC">
        <w:rPr>
          <w:rFonts w:ascii="Bookman Old Style" w:hAnsi="Bookman Old Style"/>
          <w:sz w:val="24"/>
          <w:szCs w:val="24"/>
        </w:rPr>
        <w:t>-</w:t>
      </w:r>
      <w:r w:rsidR="00CA2BAC" w:rsidRPr="00CA2BAC">
        <w:rPr>
          <w:rFonts w:ascii="Bookman Old Style" w:hAnsi="Bookman Old Style"/>
          <w:sz w:val="24"/>
          <w:szCs w:val="24"/>
        </w:rPr>
        <w:t>sufficiency; and encourage specialization and economies of scale. In doing this, the key guiding principles should be the efficient balancing of national trade and industrial policy goals and fiscal policy goals.</w:t>
      </w:r>
    </w:p>
    <w:p w14:paraId="5A3E1865" w14:textId="24E27129" w:rsidR="00344F09" w:rsidRPr="00FB5722" w:rsidRDefault="00CA2BAC" w:rsidP="00FB5722">
      <w:pPr>
        <w:spacing w:after="200" w:line="276" w:lineRule="auto"/>
        <w:jc w:val="both"/>
        <w:rPr>
          <w:rFonts w:ascii="Bookman Old Style" w:hAnsi="Bookman Old Style"/>
          <w:sz w:val="24"/>
          <w:szCs w:val="24"/>
        </w:rPr>
      </w:pPr>
      <w:r>
        <w:rPr>
          <w:rFonts w:ascii="Bookman Old Style" w:hAnsi="Bookman Old Style"/>
          <w:sz w:val="24"/>
          <w:szCs w:val="24"/>
        </w:rPr>
        <w:t>In conclusion, the issues identified in this study together with other sundry watershed should be adequately addressed at the upcoming retreat.</w:t>
      </w:r>
    </w:p>
    <w:sectPr w:rsidR="00344F09" w:rsidRPr="00FB5722" w:rsidSect="008B2FDA">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pgNumType w:start="0"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B70A6" w14:textId="77777777" w:rsidR="004420EB" w:rsidRDefault="004420EB" w:rsidP="008B2FDA">
      <w:pPr>
        <w:spacing w:after="0" w:line="240" w:lineRule="auto"/>
      </w:pPr>
      <w:r>
        <w:separator/>
      </w:r>
    </w:p>
  </w:endnote>
  <w:endnote w:type="continuationSeparator" w:id="0">
    <w:p w14:paraId="787F8A29" w14:textId="77777777" w:rsidR="004420EB" w:rsidRDefault="004420EB" w:rsidP="008B2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vert MT Std">
    <w:altName w:val="Calvert MT St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ookAntiqua">
    <w:altName w:val="Calibri"/>
    <w:charset w:val="00"/>
    <w:family w:val="auto"/>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NewRomanPSMT">
    <w:altName w:val="Times New Roman"/>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FECE3" w14:textId="77777777" w:rsidR="00B32C54" w:rsidRDefault="00B32C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123650"/>
      <w:docPartObj>
        <w:docPartGallery w:val="Page Numbers (Bottom of Page)"/>
        <w:docPartUnique/>
      </w:docPartObj>
    </w:sdtPr>
    <w:sdtEndPr>
      <w:rPr>
        <w:color w:val="7F7F7F" w:themeColor="background1" w:themeShade="7F"/>
        <w:spacing w:val="60"/>
      </w:rPr>
    </w:sdtEndPr>
    <w:sdtContent>
      <w:p w14:paraId="0651D66D" w14:textId="77ED552F" w:rsidR="008B2FDA" w:rsidRDefault="008B2FD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A6CA0" w:rsidRPr="009A6CA0">
          <w:rPr>
            <w:b/>
            <w:bCs/>
            <w:noProof/>
          </w:rPr>
          <w:t>60</w:t>
        </w:r>
        <w:r>
          <w:rPr>
            <w:b/>
            <w:bCs/>
            <w:noProof/>
          </w:rPr>
          <w:fldChar w:fldCharType="end"/>
        </w:r>
        <w:r>
          <w:rPr>
            <w:b/>
            <w:bCs/>
          </w:rPr>
          <w:t xml:space="preserve"> | </w:t>
        </w:r>
        <w:r>
          <w:rPr>
            <w:color w:val="7F7F7F" w:themeColor="background1" w:themeShade="7F"/>
            <w:spacing w:val="60"/>
          </w:rPr>
          <w:t>Page</w:t>
        </w:r>
      </w:p>
    </w:sdtContent>
  </w:sdt>
  <w:p w14:paraId="40DA14CC" w14:textId="77777777" w:rsidR="008B2FDA" w:rsidRDefault="008B2F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138DC" w14:textId="77777777" w:rsidR="00B32C54" w:rsidRDefault="00B32C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D96D3" w14:textId="77777777" w:rsidR="004420EB" w:rsidRDefault="004420EB" w:rsidP="008B2FDA">
      <w:pPr>
        <w:spacing w:after="0" w:line="240" w:lineRule="auto"/>
      </w:pPr>
      <w:r>
        <w:separator/>
      </w:r>
    </w:p>
  </w:footnote>
  <w:footnote w:type="continuationSeparator" w:id="0">
    <w:p w14:paraId="45EE5BFF" w14:textId="77777777" w:rsidR="004420EB" w:rsidRDefault="004420EB" w:rsidP="008B2F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7812B" w14:textId="77777777" w:rsidR="00B32C54" w:rsidRDefault="00B32C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946177"/>
      <w:docPartObj>
        <w:docPartGallery w:val="Watermarks"/>
        <w:docPartUnique/>
      </w:docPartObj>
    </w:sdtPr>
    <w:sdtEndPr/>
    <w:sdtContent>
      <w:p w14:paraId="4DE2522D" w14:textId="05C32EF7" w:rsidR="00B32C54" w:rsidRDefault="004420EB">
        <w:pPr>
          <w:pStyle w:val="Header"/>
        </w:pPr>
        <w:r>
          <w:rPr>
            <w:noProof/>
          </w:rPr>
          <w:pict w14:anchorId="5C5E64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7095892" o:spid="_x0000_s2049" type="#_x0000_t136" style="position:absolute;margin-left:0;margin-top:0;width:397.7pt;height:238.6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96DCD" w14:textId="77777777" w:rsidR="00B32C54" w:rsidRDefault="00B32C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4065"/>
    <w:multiLevelType w:val="hybridMultilevel"/>
    <w:tmpl w:val="4060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65345B"/>
    <w:multiLevelType w:val="hybridMultilevel"/>
    <w:tmpl w:val="9FB42B2E"/>
    <w:styleLink w:val="ImportedStyle10"/>
    <w:lvl w:ilvl="0" w:tplc="015800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DE80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774BC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20416D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52EE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E01C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CFCF9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40D1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04EF0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058D308F"/>
    <w:multiLevelType w:val="hybridMultilevel"/>
    <w:tmpl w:val="149E5AC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1B7553"/>
    <w:multiLevelType w:val="hybridMultilevel"/>
    <w:tmpl w:val="72E89A74"/>
    <w:styleLink w:val="ImportedStyle601"/>
    <w:lvl w:ilvl="0" w:tplc="FAC64AFC">
      <w:start w:val="1"/>
      <w:numFmt w:val="bullet"/>
      <w:lvlText w:val="•"/>
      <w:lvlJc w:val="left"/>
      <w:pPr>
        <w:ind w:left="72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307669F8">
      <w:start w:val="1"/>
      <w:numFmt w:val="bullet"/>
      <w:lvlText w:val="o"/>
      <w:lvlJc w:val="left"/>
      <w:pPr>
        <w:ind w:left="72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A6C5B1E">
      <w:start w:val="1"/>
      <w:numFmt w:val="bullet"/>
      <w:lvlText w:val="▪"/>
      <w:lvlJc w:val="left"/>
      <w:pPr>
        <w:ind w:left="72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0826E74">
      <w:start w:val="1"/>
      <w:numFmt w:val="bullet"/>
      <w:lvlText w:val="▪"/>
      <w:lvlJc w:val="left"/>
      <w:pPr>
        <w:ind w:left="72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C3644F74">
      <w:start w:val="1"/>
      <w:numFmt w:val="bullet"/>
      <w:lvlText w:val="▪"/>
      <w:lvlJc w:val="left"/>
      <w:pPr>
        <w:ind w:left="72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9EF826BA">
      <w:start w:val="1"/>
      <w:numFmt w:val="bullet"/>
      <w:lvlText w:val="▪"/>
      <w:lvlJc w:val="left"/>
      <w:pPr>
        <w:ind w:left="72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19564BB0">
      <w:start w:val="1"/>
      <w:numFmt w:val="bullet"/>
      <w:lvlText w:val="▪"/>
      <w:lvlJc w:val="left"/>
      <w:pPr>
        <w:ind w:left="72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025E49BC">
      <w:start w:val="1"/>
      <w:numFmt w:val="bullet"/>
      <w:lvlText w:val="▪"/>
      <w:lvlJc w:val="left"/>
      <w:pPr>
        <w:ind w:left="141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3D507B6E">
      <w:start w:val="1"/>
      <w:numFmt w:val="bullet"/>
      <w:lvlText w:val="▪"/>
      <w:lvlJc w:val="left"/>
      <w:pPr>
        <w:ind w:left="141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06911016"/>
    <w:multiLevelType w:val="hybridMultilevel"/>
    <w:tmpl w:val="C332C6A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nsid w:val="06C90CA8"/>
    <w:multiLevelType w:val="hybridMultilevel"/>
    <w:tmpl w:val="96527560"/>
    <w:styleLink w:val="ImportedStyle561"/>
    <w:lvl w:ilvl="0" w:tplc="458A12C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EF4E4292">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6E482F98">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3734381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8556CC8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3212531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EB8E294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798EABC8">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FB4E6E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08EF5A25"/>
    <w:multiLevelType w:val="hybridMultilevel"/>
    <w:tmpl w:val="C6148F3C"/>
    <w:numStyleLink w:val="ImportedStyle45"/>
  </w:abstractNum>
  <w:abstractNum w:abstractNumId="7">
    <w:nsid w:val="09401DAA"/>
    <w:multiLevelType w:val="hybridMultilevel"/>
    <w:tmpl w:val="95904894"/>
    <w:styleLink w:val="ImportedStyle23"/>
    <w:lvl w:ilvl="0" w:tplc="CF9AC774">
      <w:start w:val="1"/>
      <w:numFmt w:val="decimal"/>
      <w:lvlText w:val="%1."/>
      <w:lvlJc w:val="left"/>
      <w:pPr>
        <w:tabs>
          <w:tab w:val="left" w:pos="720"/>
        </w:tabs>
        <w:ind w:left="690" w:hanging="330"/>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1" w:tplc="3488A426">
      <w:start w:val="1"/>
      <w:numFmt w:val="lowerLetter"/>
      <w:lvlText w:val="%2."/>
      <w:lvlJc w:val="left"/>
      <w:pPr>
        <w:tabs>
          <w:tab w:val="left" w:pos="690"/>
          <w:tab w:val="left" w:pos="720"/>
        </w:tabs>
        <w:ind w:left="1410" w:hanging="330"/>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2" w:tplc="C61CB1A2">
      <w:start w:val="1"/>
      <w:numFmt w:val="lowerRoman"/>
      <w:lvlText w:val="%3."/>
      <w:lvlJc w:val="left"/>
      <w:pPr>
        <w:tabs>
          <w:tab w:val="left" w:pos="690"/>
          <w:tab w:val="left" w:pos="720"/>
        </w:tabs>
        <w:ind w:left="2130" w:hanging="266"/>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3" w:tplc="1AD250AE">
      <w:start w:val="1"/>
      <w:numFmt w:val="decimal"/>
      <w:lvlText w:val="%4."/>
      <w:lvlJc w:val="left"/>
      <w:pPr>
        <w:tabs>
          <w:tab w:val="left" w:pos="690"/>
          <w:tab w:val="left" w:pos="720"/>
        </w:tabs>
        <w:ind w:left="2850" w:hanging="330"/>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4" w:tplc="7F9859D4">
      <w:start w:val="1"/>
      <w:numFmt w:val="lowerLetter"/>
      <w:lvlText w:val="%5."/>
      <w:lvlJc w:val="left"/>
      <w:pPr>
        <w:tabs>
          <w:tab w:val="left" w:pos="690"/>
          <w:tab w:val="left" w:pos="720"/>
        </w:tabs>
        <w:ind w:left="3570" w:hanging="330"/>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5" w:tplc="720819D8">
      <w:start w:val="1"/>
      <w:numFmt w:val="lowerRoman"/>
      <w:lvlText w:val="%6."/>
      <w:lvlJc w:val="left"/>
      <w:pPr>
        <w:tabs>
          <w:tab w:val="left" w:pos="690"/>
          <w:tab w:val="left" w:pos="720"/>
        </w:tabs>
        <w:ind w:left="4290" w:hanging="266"/>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6" w:tplc="E1147026">
      <w:start w:val="1"/>
      <w:numFmt w:val="decimal"/>
      <w:lvlText w:val="%7."/>
      <w:lvlJc w:val="left"/>
      <w:pPr>
        <w:tabs>
          <w:tab w:val="left" w:pos="690"/>
          <w:tab w:val="left" w:pos="720"/>
        </w:tabs>
        <w:ind w:left="5010" w:hanging="330"/>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7" w:tplc="C4E66432">
      <w:start w:val="1"/>
      <w:numFmt w:val="lowerLetter"/>
      <w:lvlText w:val="%8."/>
      <w:lvlJc w:val="left"/>
      <w:pPr>
        <w:tabs>
          <w:tab w:val="left" w:pos="690"/>
          <w:tab w:val="left" w:pos="720"/>
        </w:tabs>
        <w:ind w:left="5730" w:hanging="330"/>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8" w:tplc="61F6A21E">
      <w:start w:val="1"/>
      <w:numFmt w:val="lowerRoman"/>
      <w:lvlText w:val="%9."/>
      <w:lvlJc w:val="left"/>
      <w:pPr>
        <w:tabs>
          <w:tab w:val="left" w:pos="690"/>
          <w:tab w:val="left" w:pos="720"/>
        </w:tabs>
        <w:ind w:left="6450" w:hanging="266"/>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nsid w:val="098A112F"/>
    <w:multiLevelType w:val="multilevel"/>
    <w:tmpl w:val="013A84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9C1659B"/>
    <w:multiLevelType w:val="hybridMultilevel"/>
    <w:tmpl w:val="57F0E612"/>
    <w:styleLink w:val="ImportedStyle2"/>
    <w:lvl w:ilvl="0" w:tplc="C7F457E6">
      <w:start w:val="1"/>
      <w:numFmt w:val="bullet"/>
      <w:lvlText w:val="•"/>
      <w:lvlJc w:val="left"/>
      <w:pPr>
        <w:ind w:left="14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A6159C">
      <w:start w:val="1"/>
      <w:numFmt w:val="bullet"/>
      <w:lvlText w:val="o"/>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B2920A">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0A318A">
      <w:start w:val="1"/>
      <w:numFmt w:val="bullet"/>
      <w:lvlText w:val="•"/>
      <w:lvlJc w:val="left"/>
      <w:pPr>
        <w:ind w:left="359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4066CD6">
      <w:start w:val="1"/>
      <w:numFmt w:val="bullet"/>
      <w:lvlText w:val="o"/>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3201624">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9C715C">
      <w:start w:val="1"/>
      <w:numFmt w:val="bullet"/>
      <w:lvlText w:val="•"/>
      <w:lvlJc w:val="left"/>
      <w:pPr>
        <w:ind w:left="575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8CA7D4">
      <w:start w:val="1"/>
      <w:numFmt w:val="bullet"/>
      <w:lvlText w:val="o"/>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28CF5C">
      <w:start w:val="1"/>
      <w:numFmt w:val="bullet"/>
      <w:lvlText w:val="▪"/>
      <w:lvlJc w:val="left"/>
      <w:pPr>
        <w:ind w:left="71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0A8C5B94"/>
    <w:multiLevelType w:val="hybridMultilevel"/>
    <w:tmpl w:val="1F904D3E"/>
    <w:numStyleLink w:val="ImportedStyle35"/>
  </w:abstractNum>
  <w:abstractNum w:abstractNumId="11">
    <w:nsid w:val="0ADD6F24"/>
    <w:multiLevelType w:val="hybridMultilevel"/>
    <w:tmpl w:val="47A05654"/>
    <w:lvl w:ilvl="0" w:tplc="04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C0B3B05"/>
    <w:multiLevelType w:val="hybridMultilevel"/>
    <w:tmpl w:val="BA723808"/>
    <w:styleLink w:val="ImportedStyle16"/>
    <w:lvl w:ilvl="0" w:tplc="05A855A4">
      <w:start w:val="1"/>
      <w:numFmt w:val="decimal"/>
      <w:lvlText w:val="%1."/>
      <w:lvlJc w:val="left"/>
      <w:pPr>
        <w:tabs>
          <w:tab w:val="left" w:pos="690"/>
          <w:tab w:val="left" w:pos="720"/>
        </w:tabs>
        <w:ind w:left="663" w:hanging="303"/>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1" w:tplc="F0BACB64">
      <w:start w:val="1"/>
      <w:numFmt w:val="lowerLetter"/>
      <w:lvlText w:val="%2."/>
      <w:lvlJc w:val="left"/>
      <w:pPr>
        <w:tabs>
          <w:tab w:val="left" w:pos="690"/>
          <w:tab w:val="left" w:pos="720"/>
        </w:tabs>
        <w:ind w:left="1413" w:hanging="333"/>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2" w:tplc="680032A0">
      <w:start w:val="1"/>
      <w:numFmt w:val="lowerRoman"/>
      <w:lvlText w:val="%3."/>
      <w:lvlJc w:val="left"/>
      <w:pPr>
        <w:tabs>
          <w:tab w:val="left" w:pos="690"/>
          <w:tab w:val="left" w:pos="720"/>
        </w:tabs>
        <w:ind w:left="2133" w:hanging="269"/>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3" w:tplc="A6F6DFAA">
      <w:start w:val="1"/>
      <w:numFmt w:val="decimal"/>
      <w:lvlText w:val="%4."/>
      <w:lvlJc w:val="left"/>
      <w:pPr>
        <w:tabs>
          <w:tab w:val="left" w:pos="690"/>
          <w:tab w:val="left" w:pos="720"/>
        </w:tabs>
        <w:ind w:left="2853" w:hanging="333"/>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4" w:tplc="3CCA8B32">
      <w:start w:val="1"/>
      <w:numFmt w:val="lowerLetter"/>
      <w:lvlText w:val="%5."/>
      <w:lvlJc w:val="left"/>
      <w:pPr>
        <w:tabs>
          <w:tab w:val="left" w:pos="690"/>
          <w:tab w:val="left" w:pos="720"/>
        </w:tabs>
        <w:ind w:left="3573" w:hanging="333"/>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5" w:tplc="8AEAD78C">
      <w:start w:val="1"/>
      <w:numFmt w:val="lowerRoman"/>
      <w:lvlText w:val="%6."/>
      <w:lvlJc w:val="left"/>
      <w:pPr>
        <w:tabs>
          <w:tab w:val="left" w:pos="690"/>
          <w:tab w:val="left" w:pos="720"/>
        </w:tabs>
        <w:ind w:left="4293" w:hanging="269"/>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6" w:tplc="D6F6499E">
      <w:start w:val="1"/>
      <w:numFmt w:val="decimal"/>
      <w:lvlText w:val="%7."/>
      <w:lvlJc w:val="left"/>
      <w:pPr>
        <w:tabs>
          <w:tab w:val="left" w:pos="690"/>
          <w:tab w:val="left" w:pos="720"/>
        </w:tabs>
        <w:ind w:left="5013" w:hanging="333"/>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7" w:tplc="855E0740">
      <w:start w:val="1"/>
      <w:numFmt w:val="lowerLetter"/>
      <w:lvlText w:val="%8."/>
      <w:lvlJc w:val="left"/>
      <w:pPr>
        <w:tabs>
          <w:tab w:val="left" w:pos="690"/>
          <w:tab w:val="left" w:pos="720"/>
        </w:tabs>
        <w:ind w:left="5733" w:hanging="333"/>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8" w:tplc="8C2E31B0">
      <w:start w:val="1"/>
      <w:numFmt w:val="lowerRoman"/>
      <w:lvlText w:val="%9."/>
      <w:lvlJc w:val="left"/>
      <w:pPr>
        <w:tabs>
          <w:tab w:val="left" w:pos="690"/>
          <w:tab w:val="left" w:pos="720"/>
        </w:tabs>
        <w:ind w:left="6453" w:hanging="269"/>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nsid w:val="0C0C51B1"/>
    <w:multiLevelType w:val="hybridMultilevel"/>
    <w:tmpl w:val="9FB42B2E"/>
    <w:numStyleLink w:val="ImportedStyle10"/>
  </w:abstractNum>
  <w:abstractNum w:abstractNumId="14">
    <w:nsid w:val="11F22681"/>
    <w:multiLevelType w:val="hybridMultilevel"/>
    <w:tmpl w:val="B218E0C2"/>
    <w:styleLink w:val="ImportedStyle29"/>
    <w:lvl w:ilvl="0" w:tplc="F626AD8E">
      <w:start w:val="1"/>
      <w:numFmt w:val="bullet"/>
      <w:lvlText w:val="•"/>
      <w:lvlJc w:val="left"/>
      <w:pPr>
        <w:tabs>
          <w:tab w:val="left" w:pos="690"/>
          <w:tab w:val="left" w:pos="720"/>
          <w:tab w:val="left" w:pos="1050"/>
        </w:tabs>
        <w:ind w:left="1021" w:hanging="301"/>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1" w:tplc="ACE8F478">
      <w:start w:val="1"/>
      <w:numFmt w:val="bullet"/>
      <w:lvlText w:val="o"/>
      <w:lvlJc w:val="left"/>
      <w:pPr>
        <w:tabs>
          <w:tab w:val="left" w:pos="690"/>
          <w:tab w:val="left" w:pos="720"/>
          <w:tab w:val="left" w:pos="1050"/>
        </w:tabs>
        <w:ind w:left="1741" w:hanging="301"/>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2" w:tplc="6AAE2EE2">
      <w:start w:val="1"/>
      <w:numFmt w:val="bullet"/>
      <w:lvlText w:val="▪"/>
      <w:lvlJc w:val="left"/>
      <w:pPr>
        <w:tabs>
          <w:tab w:val="left" w:pos="690"/>
          <w:tab w:val="left" w:pos="720"/>
          <w:tab w:val="left" w:pos="1050"/>
        </w:tabs>
        <w:ind w:left="2461" w:hanging="301"/>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3" w:tplc="FB7EA272">
      <w:start w:val="1"/>
      <w:numFmt w:val="bullet"/>
      <w:lvlText w:val="•"/>
      <w:lvlJc w:val="left"/>
      <w:pPr>
        <w:tabs>
          <w:tab w:val="left" w:pos="690"/>
          <w:tab w:val="left" w:pos="720"/>
          <w:tab w:val="left" w:pos="1050"/>
        </w:tabs>
        <w:ind w:left="3181" w:hanging="301"/>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4" w:tplc="8EE0B200">
      <w:start w:val="1"/>
      <w:numFmt w:val="bullet"/>
      <w:lvlText w:val="o"/>
      <w:lvlJc w:val="left"/>
      <w:pPr>
        <w:tabs>
          <w:tab w:val="left" w:pos="690"/>
          <w:tab w:val="left" w:pos="720"/>
          <w:tab w:val="left" w:pos="1050"/>
        </w:tabs>
        <w:ind w:left="3901" w:hanging="301"/>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5" w:tplc="61A42F60">
      <w:start w:val="1"/>
      <w:numFmt w:val="bullet"/>
      <w:lvlText w:val="▪"/>
      <w:lvlJc w:val="left"/>
      <w:pPr>
        <w:tabs>
          <w:tab w:val="left" w:pos="690"/>
          <w:tab w:val="left" w:pos="720"/>
          <w:tab w:val="left" w:pos="1050"/>
        </w:tabs>
        <w:ind w:left="4621" w:hanging="301"/>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6" w:tplc="CFF45740">
      <w:start w:val="1"/>
      <w:numFmt w:val="bullet"/>
      <w:lvlText w:val="•"/>
      <w:lvlJc w:val="left"/>
      <w:pPr>
        <w:tabs>
          <w:tab w:val="left" w:pos="690"/>
          <w:tab w:val="left" w:pos="720"/>
          <w:tab w:val="left" w:pos="1050"/>
        </w:tabs>
        <w:ind w:left="5341" w:hanging="301"/>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7" w:tplc="929CF518">
      <w:start w:val="1"/>
      <w:numFmt w:val="bullet"/>
      <w:lvlText w:val="o"/>
      <w:lvlJc w:val="left"/>
      <w:pPr>
        <w:tabs>
          <w:tab w:val="left" w:pos="690"/>
          <w:tab w:val="left" w:pos="720"/>
          <w:tab w:val="left" w:pos="1050"/>
        </w:tabs>
        <w:ind w:left="6061" w:hanging="301"/>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8" w:tplc="5A780654">
      <w:start w:val="1"/>
      <w:numFmt w:val="bullet"/>
      <w:lvlText w:val="▪"/>
      <w:lvlJc w:val="left"/>
      <w:pPr>
        <w:tabs>
          <w:tab w:val="left" w:pos="690"/>
          <w:tab w:val="left" w:pos="720"/>
          <w:tab w:val="left" w:pos="1050"/>
        </w:tabs>
        <w:ind w:left="6781" w:hanging="301"/>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
    <w:nsid w:val="13195527"/>
    <w:multiLevelType w:val="hybridMultilevel"/>
    <w:tmpl w:val="1F904D3E"/>
    <w:styleLink w:val="ImportedStyle35"/>
    <w:lvl w:ilvl="0" w:tplc="C2885B9E">
      <w:start w:val="1"/>
      <w:numFmt w:val="bullet"/>
      <w:lvlText w:val="•"/>
      <w:lvlJc w:val="left"/>
      <w:pPr>
        <w:tabs>
          <w:tab w:val="left" w:pos="690"/>
        </w:tabs>
        <w:ind w:left="65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1598AA58">
      <w:start w:val="1"/>
      <w:numFmt w:val="bullet"/>
      <w:lvlText w:val="o"/>
      <w:lvlJc w:val="left"/>
      <w:pPr>
        <w:tabs>
          <w:tab w:val="left" w:pos="690"/>
        </w:tabs>
        <w:ind w:left="137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951CC120">
      <w:start w:val="1"/>
      <w:numFmt w:val="bullet"/>
      <w:lvlText w:val="▪"/>
      <w:lvlJc w:val="left"/>
      <w:pPr>
        <w:tabs>
          <w:tab w:val="left" w:pos="690"/>
        </w:tabs>
        <w:ind w:left="209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9C840B4C">
      <w:start w:val="1"/>
      <w:numFmt w:val="bullet"/>
      <w:lvlText w:val="•"/>
      <w:lvlJc w:val="left"/>
      <w:pPr>
        <w:tabs>
          <w:tab w:val="left" w:pos="690"/>
        </w:tabs>
        <w:ind w:left="281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DFA660A0">
      <w:start w:val="1"/>
      <w:numFmt w:val="bullet"/>
      <w:lvlText w:val="o"/>
      <w:lvlJc w:val="left"/>
      <w:pPr>
        <w:tabs>
          <w:tab w:val="left" w:pos="690"/>
        </w:tabs>
        <w:ind w:left="353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3488B4EA">
      <w:start w:val="1"/>
      <w:numFmt w:val="bullet"/>
      <w:lvlText w:val="▪"/>
      <w:lvlJc w:val="left"/>
      <w:pPr>
        <w:tabs>
          <w:tab w:val="left" w:pos="690"/>
        </w:tabs>
        <w:ind w:left="425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277AE8D2">
      <w:start w:val="1"/>
      <w:numFmt w:val="bullet"/>
      <w:lvlText w:val="•"/>
      <w:lvlJc w:val="left"/>
      <w:pPr>
        <w:tabs>
          <w:tab w:val="left" w:pos="690"/>
        </w:tabs>
        <w:ind w:left="497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81CAC3E0">
      <w:start w:val="1"/>
      <w:numFmt w:val="bullet"/>
      <w:lvlText w:val="o"/>
      <w:lvlJc w:val="left"/>
      <w:pPr>
        <w:tabs>
          <w:tab w:val="left" w:pos="690"/>
        </w:tabs>
        <w:ind w:left="569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25B63CEE">
      <w:start w:val="1"/>
      <w:numFmt w:val="bullet"/>
      <w:lvlText w:val="▪"/>
      <w:lvlJc w:val="left"/>
      <w:pPr>
        <w:tabs>
          <w:tab w:val="left" w:pos="690"/>
        </w:tabs>
        <w:ind w:left="641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14C90B6C"/>
    <w:multiLevelType w:val="hybridMultilevel"/>
    <w:tmpl w:val="7CDC690E"/>
    <w:lvl w:ilvl="0" w:tplc="7FB480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A1076E"/>
    <w:multiLevelType w:val="hybridMultilevel"/>
    <w:tmpl w:val="25884F02"/>
    <w:lvl w:ilvl="0" w:tplc="E09E891A">
      <w:start w:val="1"/>
      <w:numFmt w:val="bullet"/>
      <w:pStyle w:val="BulletedlistSaana"/>
      <w:lvlText w:val=""/>
      <w:lvlJc w:val="left"/>
      <w:pPr>
        <w:tabs>
          <w:tab w:val="num" w:pos="113"/>
        </w:tabs>
        <w:ind w:left="170" w:hanging="57"/>
      </w:pPr>
      <w:rPr>
        <w:rFonts w:ascii="Symbol" w:hAnsi="Symbol" w:hint="default"/>
        <w:color w:val="073F5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DA0617"/>
    <w:multiLevelType w:val="hybridMultilevel"/>
    <w:tmpl w:val="C6148F3C"/>
    <w:styleLink w:val="ImportedStyle45"/>
    <w:lvl w:ilvl="0" w:tplc="5F801940">
      <w:start w:val="1"/>
      <w:numFmt w:val="bullet"/>
      <w:lvlText w:val="❖"/>
      <w:lvlJc w:val="left"/>
      <w:pPr>
        <w:tabs>
          <w:tab w:val="left" w:pos="1410"/>
        </w:tabs>
        <w:ind w:left="6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828CD4C">
      <w:start w:val="1"/>
      <w:numFmt w:val="bullet"/>
      <w:lvlText w:val="o"/>
      <w:lvlJc w:val="left"/>
      <w:pPr>
        <w:tabs>
          <w:tab w:val="left" w:pos="1410"/>
        </w:tabs>
        <w:ind w:left="138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76D472">
      <w:start w:val="1"/>
      <w:numFmt w:val="bullet"/>
      <w:lvlText w:val="▪"/>
      <w:lvlJc w:val="left"/>
      <w:pPr>
        <w:tabs>
          <w:tab w:val="left" w:pos="1410"/>
        </w:tabs>
        <w:ind w:left="21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3816EA">
      <w:start w:val="1"/>
      <w:numFmt w:val="bullet"/>
      <w:lvlText w:val="•"/>
      <w:lvlJc w:val="left"/>
      <w:pPr>
        <w:tabs>
          <w:tab w:val="left" w:pos="1410"/>
        </w:tabs>
        <w:ind w:left="28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E125972">
      <w:start w:val="1"/>
      <w:numFmt w:val="bullet"/>
      <w:lvlText w:val="o"/>
      <w:lvlJc w:val="left"/>
      <w:pPr>
        <w:tabs>
          <w:tab w:val="left" w:pos="1410"/>
        </w:tabs>
        <w:ind w:left="354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BA3594">
      <w:start w:val="1"/>
      <w:numFmt w:val="bullet"/>
      <w:lvlText w:val="▪"/>
      <w:lvlJc w:val="left"/>
      <w:pPr>
        <w:tabs>
          <w:tab w:val="left" w:pos="1410"/>
        </w:tabs>
        <w:ind w:left="42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E3E7822">
      <w:start w:val="1"/>
      <w:numFmt w:val="bullet"/>
      <w:lvlText w:val="•"/>
      <w:lvlJc w:val="left"/>
      <w:pPr>
        <w:tabs>
          <w:tab w:val="left" w:pos="1410"/>
        </w:tabs>
        <w:ind w:left="498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90C5DB8">
      <w:start w:val="1"/>
      <w:numFmt w:val="bullet"/>
      <w:lvlText w:val="o"/>
      <w:lvlJc w:val="left"/>
      <w:pPr>
        <w:tabs>
          <w:tab w:val="left" w:pos="1410"/>
        </w:tabs>
        <w:ind w:left="57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A746118">
      <w:start w:val="1"/>
      <w:numFmt w:val="bullet"/>
      <w:lvlText w:val="▪"/>
      <w:lvlJc w:val="left"/>
      <w:pPr>
        <w:tabs>
          <w:tab w:val="left" w:pos="1410"/>
        </w:tabs>
        <w:ind w:left="64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nsid w:val="1BFF3C90"/>
    <w:multiLevelType w:val="hybridMultilevel"/>
    <w:tmpl w:val="34A62BA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nsid w:val="1C9407C4"/>
    <w:multiLevelType w:val="hybridMultilevel"/>
    <w:tmpl w:val="44561122"/>
    <w:styleLink w:val="ImportedStyle20"/>
    <w:lvl w:ilvl="0" w:tplc="B690310C">
      <w:start w:val="1"/>
      <w:numFmt w:val="decimal"/>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EA2E812C">
      <w:start w:val="1"/>
      <w:numFmt w:val="lowerLetter"/>
      <w:lvlText w:val="%2."/>
      <w:lvlJc w:val="left"/>
      <w:pPr>
        <w:ind w:left="141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1A6AB87E">
      <w:start w:val="1"/>
      <w:numFmt w:val="lowerRoman"/>
      <w:lvlText w:val="%3."/>
      <w:lvlJc w:val="left"/>
      <w:pPr>
        <w:ind w:left="2137" w:hanging="359"/>
      </w:pPr>
      <w:rPr>
        <w:rFonts w:hAnsi="Arial Unicode MS"/>
        <w:caps w:val="0"/>
        <w:smallCaps w:val="0"/>
        <w:strike w:val="0"/>
        <w:dstrike w:val="0"/>
        <w:outline w:val="0"/>
        <w:emboss w:val="0"/>
        <w:imprint w:val="0"/>
        <w:spacing w:val="0"/>
        <w:w w:val="100"/>
        <w:kern w:val="0"/>
        <w:position w:val="0"/>
        <w:highlight w:val="none"/>
        <w:vertAlign w:val="baseline"/>
      </w:rPr>
    </w:lvl>
    <w:lvl w:ilvl="3" w:tplc="6E40199E">
      <w:start w:val="1"/>
      <w:numFmt w:val="decimal"/>
      <w:lvlText w:val="%4."/>
      <w:lvlJc w:val="left"/>
      <w:pPr>
        <w:ind w:left="285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09880F7A">
      <w:start w:val="1"/>
      <w:numFmt w:val="lowerLetter"/>
      <w:lvlText w:val="%5."/>
      <w:lvlJc w:val="left"/>
      <w:pPr>
        <w:ind w:left="357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2E8624D4">
      <w:start w:val="1"/>
      <w:numFmt w:val="lowerRoman"/>
      <w:lvlText w:val="%6."/>
      <w:lvlJc w:val="left"/>
      <w:pPr>
        <w:ind w:left="4297" w:hanging="359"/>
      </w:pPr>
      <w:rPr>
        <w:rFonts w:hAnsi="Arial Unicode MS"/>
        <w:caps w:val="0"/>
        <w:smallCaps w:val="0"/>
        <w:strike w:val="0"/>
        <w:dstrike w:val="0"/>
        <w:outline w:val="0"/>
        <w:emboss w:val="0"/>
        <w:imprint w:val="0"/>
        <w:spacing w:val="0"/>
        <w:w w:val="100"/>
        <w:kern w:val="0"/>
        <w:position w:val="0"/>
        <w:highlight w:val="none"/>
        <w:vertAlign w:val="baseline"/>
      </w:rPr>
    </w:lvl>
    <w:lvl w:ilvl="6" w:tplc="38BE1ED6">
      <w:start w:val="1"/>
      <w:numFmt w:val="decimal"/>
      <w:lvlText w:val="%7."/>
      <w:lvlJc w:val="left"/>
      <w:pPr>
        <w:ind w:left="501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52642450">
      <w:start w:val="1"/>
      <w:numFmt w:val="lowerLetter"/>
      <w:lvlText w:val="%8."/>
      <w:lvlJc w:val="left"/>
      <w:pPr>
        <w:ind w:left="573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816ED98C">
      <w:start w:val="1"/>
      <w:numFmt w:val="lowerRoman"/>
      <w:lvlText w:val="%9."/>
      <w:lvlJc w:val="left"/>
      <w:pPr>
        <w:ind w:left="6457" w:hanging="35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1CD96384"/>
    <w:multiLevelType w:val="hybridMultilevel"/>
    <w:tmpl w:val="11C061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E6713F4"/>
    <w:multiLevelType w:val="hybridMultilevel"/>
    <w:tmpl w:val="57A48494"/>
    <w:styleLink w:val="ImportedStyle1"/>
    <w:lvl w:ilvl="0" w:tplc="836417AA">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DF04324">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621EFC">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449FEC">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DBC9DDE">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C01676">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907BA4">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08B11C">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028BDC6">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nsid w:val="20AF06D4"/>
    <w:multiLevelType w:val="hybridMultilevel"/>
    <w:tmpl w:val="72E89A74"/>
    <w:numStyleLink w:val="ImportedStyle601"/>
  </w:abstractNum>
  <w:abstractNum w:abstractNumId="24">
    <w:nsid w:val="21A3227D"/>
    <w:multiLevelType w:val="hybridMultilevel"/>
    <w:tmpl w:val="B218E0C2"/>
    <w:numStyleLink w:val="ImportedStyle29"/>
  </w:abstractNum>
  <w:abstractNum w:abstractNumId="25">
    <w:nsid w:val="220C580A"/>
    <w:multiLevelType w:val="hybridMultilevel"/>
    <w:tmpl w:val="9096614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9C243F0"/>
    <w:multiLevelType w:val="hybridMultilevel"/>
    <w:tmpl w:val="5406EBC4"/>
    <w:numStyleLink w:val="Numbered"/>
  </w:abstractNum>
  <w:abstractNum w:abstractNumId="27">
    <w:nsid w:val="2C6B3ED7"/>
    <w:multiLevelType w:val="hybridMultilevel"/>
    <w:tmpl w:val="D818BAA6"/>
    <w:styleLink w:val="ImportedStyle100"/>
    <w:lvl w:ilvl="0" w:tplc="2C449F6E">
      <w:start w:val="1"/>
      <w:numFmt w:val="upperLetter"/>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D4801C8">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9FA4F9E">
      <w:start w:val="1"/>
      <w:numFmt w:val="lowerRoman"/>
      <w:lvlText w:val="%3."/>
      <w:lvlJc w:val="left"/>
      <w:pPr>
        <w:ind w:left="1800" w:hanging="315"/>
      </w:pPr>
      <w:rPr>
        <w:rFonts w:hAnsi="Arial Unicode MS"/>
        <w:b/>
        <w:bCs/>
        <w:caps w:val="0"/>
        <w:smallCaps w:val="0"/>
        <w:strike w:val="0"/>
        <w:dstrike w:val="0"/>
        <w:outline w:val="0"/>
        <w:emboss w:val="0"/>
        <w:imprint w:val="0"/>
        <w:spacing w:val="0"/>
        <w:w w:val="100"/>
        <w:kern w:val="0"/>
        <w:position w:val="0"/>
        <w:highlight w:val="none"/>
        <w:vertAlign w:val="baseline"/>
      </w:rPr>
    </w:lvl>
    <w:lvl w:ilvl="3" w:tplc="DC100F82">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822726A">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CB89A78">
      <w:start w:val="1"/>
      <w:numFmt w:val="lowerRoman"/>
      <w:lvlText w:val="%6."/>
      <w:lvlJc w:val="left"/>
      <w:pPr>
        <w:ind w:left="3960" w:hanging="315"/>
      </w:pPr>
      <w:rPr>
        <w:rFonts w:hAnsi="Arial Unicode MS"/>
        <w:b/>
        <w:bCs/>
        <w:caps w:val="0"/>
        <w:smallCaps w:val="0"/>
        <w:strike w:val="0"/>
        <w:dstrike w:val="0"/>
        <w:outline w:val="0"/>
        <w:emboss w:val="0"/>
        <w:imprint w:val="0"/>
        <w:spacing w:val="0"/>
        <w:w w:val="100"/>
        <w:kern w:val="0"/>
        <w:position w:val="0"/>
        <w:highlight w:val="none"/>
        <w:vertAlign w:val="baseline"/>
      </w:rPr>
    </w:lvl>
    <w:lvl w:ilvl="6" w:tplc="8946D70A">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B26565E">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460B314">
      <w:start w:val="1"/>
      <w:numFmt w:val="lowerRoman"/>
      <w:lvlText w:val="%9."/>
      <w:lvlJc w:val="left"/>
      <w:pPr>
        <w:ind w:left="6120" w:hanging="31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nsid w:val="2DE01479"/>
    <w:multiLevelType w:val="hybridMultilevel"/>
    <w:tmpl w:val="5406EBC4"/>
    <w:styleLink w:val="Numbered"/>
    <w:lvl w:ilvl="0" w:tplc="68AC0BCE">
      <w:start w:val="1"/>
      <w:numFmt w:val="decimal"/>
      <w:lvlText w:val="%1."/>
      <w:lvlJc w:val="left"/>
      <w:pPr>
        <w:ind w:left="953"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3564A820">
      <w:start w:val="1"/>
      <w:numFmt w:val="decimal"/>
      <w:lvlText w:val="%2."/>
      <w:lvlJc w:val="left"/>
      <w:pPr>
        <w:ind w:left="1753"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708E8A9A">
      <w:start w:val="1"/>
      <w:numFmt w:val="decimal"/>
      <w:lvlText w:val="%3."/>
      <w:lvlJc w:val="left"/>
      <w:pPr>
        <w:ind w:left="2553"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D3669B30">
      <w:start w:val="1"/>
      <w:numFmt w:val="decimal"/>
      <w:lvlText w:val="%4."/>
      <w:lvlJc w:val="left"/>
      <w:pPr>
        <w:ind w:left="3353"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FC947FE4">
      <w:start w:val="1"/>
      <w:numFmt w:val="decimal"/>
      <w:lvlText w:val="%5."/>
      <w:lvlJc w:val="left"/>
      <w:pPr>
        <w:ind w:left="4153"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B99E9982">
      <w:start w:val="1"/>
      <w:numFmt w:val="decimal"/>
      <w:lvlText w:val="%6."/>
      <w:lvlJc w:val="left"/>
      <w:pPr>
        <w:ind w:left="4953"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A0266FFA">
      <w:start w:val="1"/>
      <w:numFmt w:val="decimal"/>
      <w:lvlText w:val="%7."/>
      <w:lvlJc w:val="left"/>
      <w:pPr>
        <w:ind w:left="5753"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39BA2706">
      <w:start w:val="1"/>
      <w:numFmt w:val="decimal"/>
      <w:lvlText w:val="%8."/>
      <w:lvlJc w:val="left"/>
      <w:pPr>
        <w:ind w:left="6553"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8C04E152">
      <w:start w:val="1"/>
      <w:numFmt w:val="decimal"/>
      <w:lvlText w:val="%9."/>
      <w:lvlJc w:val="left"/>
      <w:pPr>
        <w:ind w:left="7353"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nsid w:val="32FB74B6"/>
    <w:multiLevelType w:val="hybridMultilevel"/>
    <w:tmpl w:val="D32CDF9A"/>
    <w:numStyleLink w:val="ImportedStyle4"/>
  </w:abstractNum>
  <w:abstractNum w:abstractNumId="30">
    <w:nsid w:val="33AE54F7"/>
    <w:multiLevelType w:val="hybridMultilevel"/>
    <w:tmpl w:val="DD06EA1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49A2CFF"/>
    <w:multiLevelType w:val="hybridMultilevel"/>
    <w:tmpl w:val="F3F46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B24183D"/>
    <w:multiLevelType w:val="hybridMultilevel"/>
    <w:tmpl w:val="96527560"/>
    <w:numStyleLink w:val="ImportedStyle561"/>
  </w:abstractNum>
  <w:abstractNum w:abstractNumId="33">
    <w:nsid w:val="3D227FDF"/>
    <w:multiLevelType w:val="multilevel"/>
    <w:tmpl w:val="D2AC97CC"/>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3EBC61E3"/>
    <w:multiLevelType w:val="hybridMultilevel"/>
    <w:tmpl w:val="BA723808"/>
    <w:numStyleLink w:val="ImportedStyle16"/>
  </w:abstractNum>
  <w:abstractNum w:abstractNumId="35">
    <w:nsid w:val="3ED955F1"/>
    <w:multiLevelType w:val="hybridMultilevel"/>
    <w:tmpl w:val="7DF0C4AA"/>
    <w:lvl w:ilvl="0" w:tplc="8F0065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17741B0"/>
    <w:multiLevelType w:val="hybridMultilevel"/>
    <w:tmpl w:val="C1D241D8"/>
    <w:lvl w:ilvl="0" w:tplc="659C73D2">
      <w:start w:val="1"/>
      <w:numFmt w:val="bullet"/>
      <w:lvlText w:val=""/>
      <w:lvlJc w:val="left"/>
      <w:pPr>
        <w:ind w:left="720" w:hanging="360"/>
      </w:pPr>
      <w:rPr>
        <w:rFonts w:ascii="Symbol" w:hAnsi="Symbol" w:cs="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37A5050"/>
    <w:multiLevelType w:val="hybridMultilevel"/>
    <w:tmpl w:val="A16ACED0"/>
    <w:styleLink w:val="ImportedStyle37"/>
    <w:lvl w:ilvl="0" w:tplc="C06A45D6">
      <w:start w:val="1"/>
      <w:numFmt w:val="bullet"/>
      <w:lvlText w:val="•"/>
      <w:lvlJc w:val="left"/>
      <w:pPr>
        <w:tabs>
          <w:tab w:val="left" w:pos="690"/>
        </w:tabs>
        <w:ind w:left="65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ABFA16E4">
      <w:start w:val="1"/>
      <w:numFmt w:val="bullet"/>
      <w:lvlText w:val="o"/>
      <w:lvlJc w:val="left"/>
      <w:pPr>
        <w:tabs>
          <w:tab w:val="left" w:pos="690"/>
        </w:tabs>
        <w:ind w:left="137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6762957C">
      <w:start w:val="1"/>
      <w:numFmt w:val="bullet"/>
      <w:lvlText w:val="▪"/>
      <w:lvlJc w:val="left"/>
      <w:pPr>
        <w:tabs>
          <w:tab w:val="left" w:pos="690"/>
        </w:tabs>
        <w:ind w:left="209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8A6C200">
      <w:start w:val="1"/>
      <w:numFmt w:val="bullet"/>
      <w:lvlText w:val="•"/>
      <w:lvlJc w:val="left"/>
      <w:pPr>
        <w:tabs>
          <w:tab w:val="left" w:pos="690"/>
        </w:tabs>
        <w:ind w:left="281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32DA3E12">
      <w:start w:val="1"/>
      <w:numFmt w:val="bullet"/>
      <w:lvlText w:val="o"/>
      <w:lvlJc w:val="left"/>
      <w:pPr>
        <w:tabs>
          <w:tab w:val="left" w:pos="690"/>
        </w:tabs>
        <w:ind w:left="353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B8842918">
      <w:start w:val="1"/>
      <w:numFmt w:val="bullet"/>
      <w:lvlText w:val="▪"/>
      <w:lvlJc w:val="left"/>
      <w:pPr>
        <w:tabs>
          <w:tab w:val="left" w:pos="690"/>
        </w:tabs>
        <w:ind w:left="425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C5B2F896">
      <w:start w:val="1"/>
      <w:numFmt w:val="bullet"/>
      <w:lvlText w:val="•"/>
      <w:lvlJc w:val="left"/>
      <w:pPr>
        <w:tabs>
          <w:tab w:val="left" w:pos="690"/>
        </w:tabs>
        <w:ind w:left="497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5280674E">
      <w:start w:val="1"/>
      <w:numFmt w:val="bullet"/>
      <w:lvlText w:val="o"/>
      <w:lvlJc w:val="left"/>
      <w:pPr>
        <w:tabs>
          <w:tab w:val="left" w:pos="690"/>
        </w:tabs>
        <w:ind w:left="569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A3626910">
      <w:start w:val="1"/>
      <w:numFmt w:val="bullet"/>
      <w:lvlText w:val="▪"/>
      <w:lvlJc w:val="left"/>
      <w:pPr>
        <w:tabs>
          <w:tab w:val="left" w:pos="690"/>
        </w:tabs>
        <w:ind w:left="641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nsid w:val="440943FE"/>
    <w:multiLevelType w:val="hybridMultilevel"/>
    <w:tmpl w:val="091258AE"/>
    <w:lvl w:ilvl="0" w:tplc="8F0065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6C0112"/>
    <w:multiLevelType w:val="hybridMultilevel"/>
    <w:tmpl w:val="5AEA1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7490FB7"/>
    <w:multiLevelType w:val="hybridMultilevel"/>
    <w:tmpl w:val="489AA3C2"/>
    <w:styleLink w:val="ImportedStyle571"/>
    <w:lvl w:ilvl="0" w:tplc="F69A28B4">
      <w:start w:val="1"/>
      <w:numFmt w:val="bullet"/>
      <w:lvlText w:val="•"/>
      <w:lvlJc w:val="left"/>
      <w:pPr>
        <w:ind w:left="785" w:hanging="78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086EA1D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8E54A30E">
      <w:start w:val="1"/>
      <w:numFmt w:val="bullet"/>
      <w:lvlText w:val="▪"/>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D270D00C">
      <w:start w:val="1"/>
      <w:numFmt w:val="bullet"/>
      <w:lvlText w:val="▪"/>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D41CE754">
      <w:start w:val="1"/>
      <w:numFmt w:val="bullet"/>
      <w:lvlText w:val="▪"/>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08A065F6">
      <w:start w:val="1"/>
      <w:numFmt w:val="bullet"/>
      <w:lvlText w:val="▪"/>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EC480DDE">
      <w:start w:val="1"/>
      <w:numFmt w:val="bullet"/>
      <w:lvlText w:val="▪"/>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6BBCA978">
      <w:start w:val="1"/>
      <w:numFmt w:val="bullet"/>
      <w:lvlText w:val="▪"/>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E66A29DC">
      <w:start w:val="1"/>
      <w:numFmt w:val="bullet"/>
      <w:lvlText w:val="▪"/>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nsid w:val="47513262"/>
    <w:multiLevelType w:val="hybridMultilevel"/>
    <w:tmpl w:val="A16ACED0"/>
    <w:numStyleLink w:val="ImportedStyle37"/>
  </w:abstractNum>
  <w:abstractNum w:abstractNumId="42">
    <w:nsid w:val="48041683"/>
    <w:multiLevelType w:val="hybridMultilevel"/>
    <w:tmpl w:val="C5A27956"/>
    <w:styleLink w:val="ImportedStyle9"/>
    <w:lvl w:ilvl="0" w:tplc="619AEB7C">
      <w:start w:val="1"/>
      <w:numFmt w:val="decimal"/>
      <w:lvlText w:val="%1."/>
      <w:lvlJc w:val="left"/>
      <w:pPr>
        <w:tabs>
          <w:tab w:val="left" w:pos="720"/>
        </w:tabs>
        <w:ind w:left="690" w:hanging="330"/>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1" w:tplc="70D4E4CE">
      <w:start w:val="1"/>
      <w:numFmt w:val="lowerLetter"/>
      <w:lvlText w:val="%2."/>
      <w:lvlJc w:val="left"/>
      <w:pPr>
        <w:tabs>
          <w:tab w:val="left" w:pos="720"/>
        </w:tabs>
        <w:ind w:left="1410" w:hanging="330"/>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2" w:tplc="5AEA499E">
      <w:start w:val="1"/>
      <w:numFmt w:val="lowerRoman"/>
      <w:lvlText w:val="%3."/>
      <w:lvlJc w:val="left"/>
      <w:pPr>
        <w:tabs>
          <w:tab w:val="left" w:pos="720"/>
        </w:tabs>
        <w:ind w:left="2130" w:hanging="266"/>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3" w:tplc="98EAB05A">
      <w:start w:val="1"/>
      <w:numFmt w:val="decimal"/>
      <w:lvlText w:val="%4."/>
      <w:lvlJc w:val="left"/>
      <w:pPr>
        <w:tabs>
          <w:tab w:val="left" w:pos="720"/>
        </w:tabs>
        <w:ind w:left="2850" w:hanging="330"/>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4" w:tplc="2062D942">
      <w:start w:val="1"/>
      <w:numFmt w:val="lowerLetter"/>
      <w:lvlText w:val="%5."/>
      <w:lvlJc w:val="left"/>
      <w:pPr>
        <w:tabs>
          <w:tab w:val="left" w:pos="720"/>
        </w:tabs>
        <w:ind w:left="3570" w:hanging="330"/>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5" w:tplc="4DB47276">
      <w:start w:val="1"/>
      <w:numFmt w:val="lowerRoman"/>
      <w:lvlText w:val="%6."/>
      <w:lvlJc w:val="left"/>
      <w:pPr>
        <w:tabs>
          <w:tab w:val="left" w:pos="720"/>
        </w:tabs>
        <w:ind w:left="4290" w:hanging="266"/>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6" w:tplc="B42A3AB8">
      <w:start w:val="1"/>
      <w:numFmt w:val="decimal"/>
      <w:lvlText w:val="%7."/>
      <w:lvlJc w:val="left"/>
      <w:pPr>
        <w:tabs>
          <w:tab w:val="left" w:pos="720"/>
        </w:tabs>
        <w:ind w:left="5010" w:hanging="330"/>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7" w:tplc="27AEBA42">
      <w:start w:val="1"/>
      <w:numFmt w:val="lowerLetter"/>
      <w:lvlText w:val="%8."/>
      <w:lvlJc w:val="left"/>
      <w:pPr>
        <w:tabs>
          <w:tab w:val="left" w:pos="720"/>
        </w:tabs>
        <w:ind w:left="5730" w:hanging="330"/>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8" w:tplc="073E4352">
      <w:start w:val="1"/>
      <w:numFmt w:val="lowerRoman"/>
      <w:lvlText w:val="%9."/>
      <w:lvlJc w:val="left"/>
      <w:pPr>
        <w:tabs>
          <w:tab w:val="left" w:pos="720"/>
        </w:tabs>
        <w:ind w:left="6450" w:hanging="266"/>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3">
    <w:nsid w:val="489B240F"/>
    <w:multiLevelType w:val="hybridMultilevel"/>
    <w:tmpl w:val="57A48494"/>
    <w:numStyleLink w:val="ImportedStyle1"/>
  </w:abstractNum>
  <w:abstractNum w:abstractNumId="44">
    <w:nsid w:val="490F75F8"/>
    <w:multiLevelType w:val="hybridMultilevel"/>
    <w:tmpl w:val="D818BAA6"/>
    <w:numStyleLink w:val="ImportedStyle100"/>
  </w:abstractNum>
  <w:abstractNum w:abstractNumId="45">
    <w:nsid w:val="4A6A7CA7"/>
    <w:multiLevelType w:val="hybridMultilevel"/>
    <w:tmpl w:val="CB528EBC"/>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4B843D45"/>
    <w:multiLevelType w:val="hybridMultilevel"/>
    <w:tmpl w:val="01FECE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CDD7F57"/>
    <w:multiLevelType w:val="hybridMultilevel"/>
    <w:tmpl w:val="FF1EC8C6"/>
    <w:styleLink w:val="ImportedStyle3"/>
    <w:lvl w:ilvl="0" w:tplc="D56660AC">
      <w:start w:val="1"/>
      <w:numFmt w:val="bullet"/>
      <w:lvlText w:val="•"/>
      <w:lvlJc w:val="left"/>
      <w:pPr>
        <w:tabs>
          <w:tab w:val="left" w:pos="690"/>
          <w:tab w:val="left" w:pos="720"/>
        </w:tabs>
        <w:ind w:left="138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C0361C">
      <w:start w:val="1"/>
      <w:numFmt w:val="bullet"/>
      <w:lvlText w:val="o"/>
      <w:lvlJc w:val="left"/>
      <w:pPr>
        <w:tabs>
          <w:tab w:val="left" w:pos="690"/>
          <w:tab w:val="left" w:pos="720"/>
        </w:tabs>
        <w:ind w:left="210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E804AA4">
      <w:start w:val="1"/>
      <w:numFmt w:val="bullet"/>
      <w:lvlText w:val="▪"/>
      <w:lvlJc w:val="left"/>
      <w:pPr>
        <w:tabs>
          <w:tab w:val="left" w:pos="690"/>
          <w:tab w:val="left" w:pos="720"/>
        </w:tabs>
        <w:ind w:left="282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F5C249E">
      <w:start w:val="1"/>
      <w:numFmt w:val="bullet"/>
      <w:lvlText w:val="•"/>
      <w:lvlJc w:val="left"/>
      <w:pPr>
        <w:tabs>
          <w:tab w:val="left" w:pos="690"/>
          <w:tab w:val="left" w:pos="720"/>
        </w:tabs>
        <w:ind w:left="354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EA25874">
      <w:start w:val="1"/>
      <w:numFmt w:val="bullet"/>
      <w:lvlText w:val="o"/>
      <w:lvlJc w:val="left"/>
      <w:pPr>
        <w:tabs>
          <w:tab w:val="left" w:pos="690"/>
          <w:tab w:val="left" w:pos="720"/>
        </w:tabs>
        <w:ind w:left="426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07CF386">
      <w:start w:val="1"/>
      <w:numFmt w:val="bullet"/>
      <w:lvlText w:val="▪"/>
      <w:lvlJc w:val="left"/>
      <w:pPr>
        <w:tabs>
          <w:tab w:val="left" w:pos="690"/>
          <w:tab w:val="left" w:pos="720"/>
        </w:tabs>
        <w:ind w:left="498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74F1C0">
      <w:start w:val="1"/>
      <w:numFmt w:val="bullet"/>
      <w:lvlText w:val="•"/>
      <w:lvlJc w:val="left"/>
      <w:pPr>
        <w:tabs>
          <w:tab w:val="left" w:pos="690"/>
          <w:tab w:val="left" w:pos="720"/>
        </w:tabs>
        <w:ind w:left="570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4C1A32">
      <w:start w:val="1"/>
      <w:numFmt w:val="bullet"/>
      <w:lvlText w:val="o"/>
      <w:lvlJc w:val="left"/>
      <w:pPr>
        <w:tabs>
          <w:tab w:val="left" w:pos="690"/>
          <w:tab w:val="left" w:pos="720"/>
        </w:tabs>
        <w:ind w:left="642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030B2BC">
      <w:start w:val="1"/>
      <w:numFmt w:val="bullet"/>
      <w:lvlText w:val="▪"/>
      <w:lvlJc w:val="left"/>
      <w:pPr>
        <w:tabs>
          <w:tab w:val="left" w:pos="690"/>
          <w:tab w:val="left" w:pos="720"/>
        </w:tabs>
        <w:ind w:left="714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nsid w:val="4FA542BF"/>
    <w:multiLevelType w:val="hybridMultilevel"/>
    <w:tmpl w:val="95904894"/>
    <w:numStyleLink w:val="ImportedStyle23"/>
  </w:abstractNum>
  <w:abstractNum w:abstractNumId="49">
    <w:nsid w:val="51271860"/>
    <w:multiLevelType w:val="hybridMultilevel"/>
    <w:tmpl w:val="44561122"/>
    <w:numStyleLink w:val="ImportedStyle20"/>
  </w:abstractNum>
  <w:abstractNum w:abstractNumId="50">
    <w:nsid w:val="5A1A60AB"/>
    <w:multiLevelType w:val="hybridMultilevel"/>
    <w:tmpl w:val="8FE84080"/>
    <w:styleLink w:val="ImportedStyle36"/>
    <w:lvl w:ilvl="0" w:tplc="BC34D0C2">
      <w:start w:val="1"/>
      <w:numFmt w:val="bullet"/>
      <w:lvlText w:val="•"/>
      <w:lvlJc w:val="left"/>
      <w:pPr>
        <w:tabs>
          <w:tab w:val="left" w:pos="690"/>
        </w:tabs>
        <w:ind w:left="65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4EDCAF5E">
      <w:start w:val="1"/>
      <w:numFmt w:val="bullet"/>
      <w:lvlText w:val="o"/>
      <w:lvlJc w:val="left"/>
      <w:pPr>
        <w:tabs>
          <w:tab w:val="left" w:pos="690"/>
        </w:tabs>
        <w:ind w:left="137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27A64DD8">
      <w:start w:val="1"/>
      <w:numFmt w:val="bullet"/>
      <w:lvlText w:val="▪"/>
      <w:lvlJc w:val="left"/>
      <w:pPr>
        <w:tabs>
          <w:tab w:val="left" w:pos="690"/>
        </w:tabs>
        <w:ind w:left="209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E682B858">
      <w:start w:val="1"/>
      <w:numFmt w:val="bullet"/>
      <w:lvlText w:val="•"/>
      <w:lvlJc w:val="left"/>
      <w:pPr>
        <w:tabs>
          <w:tab w:val="left" w:pos="690"/>
        </w:tabs>
        <w:ind w:left="281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B3D0A5CE">
      <w:start w:val="1"/>
      <w:numFmt w:val="bullet"/>
      <w:lvlText w:val="o"/>
      <w:lvlJc w:val="left"/>
      <w:pPr>
        <w:tabs>
          <w:tab w:val="left" w:pos="690"/>
        </w:tabs>
        <w:ind w:left="353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4066D4E4">
      <w:start w:val="1"/>
      <w:numFmt w:val="bullet"/>
      <w:lvlText w:val="▪"/>
      <w:lvlJc w:val="left"/>
      <w:pPr>
        <w:tabs>
          <w:tab w:val="left" w:pos="690"/>
        </w:tabs>
        <w:ind w:left="425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C4E4EA16">
      <w:start w:val="1"/>
      <w:numFmt w:val="bullet"/>
      <w:lvlText w:val="•"/>
      <w:lvlJc w:val="left"/>
      <w:pPr>
        <w:tabs>
          <w:tab w:val="left" w:pos="690"/>
        </w:tabs>
        <w:ind w:left="497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0DEEAFAA">
      <w:start w:val="1"/>
      <w:numFmt w:val="bullet"/>
      <w:lvlText w:val="o"/>
      <w:lvlJc w:val="left"/>
      <w:pPr>
        <w:tabs>
          <w:tab w:val="left" w:pos="690"/>
        </w:tabs>
        <w:ind w:left="569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FF01358">
      <w:start w:val="1"/>
      <w:numFmt w:val="bullet"/>
      <w:lvlText w:val="▪"/>
      <w:lvlJc w:val="left"/>
      <w:pPr>
        <w:tabs>
          <w:tab w:val="left" w:pos="690"/>
        </w:tabs>
        <w:ind w:left="6418" w:hanging="30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nsid w:val="5DF12ACC"/>
    <w:multiLevelType w:val="hybridMultilevel"/>
    <w:tmpl w:val="F968B06C"/>
    <w:numStyleLink w:val="Bullets"/>
  </w:abstractNum>
  <w:abstractNum w:abstractNumId="52">
    <w:nsid w:val="601729D2"/>
    <w:multiLevelType w:val="hybridMultilevel"/>
    <w:tmpl w:val="FA2C00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5455CB6"/>
    <w:multiLevelType w:val="hybridMultilevel"/>
    <w:tmpl w:val="8C24B5EE"/>
    <w:numStyleLink w:val="ImportedStyle40"/>
  </w:abstractNum>
  <w:abstractNum w:abstractNumId="54">
    <w:nsid w:val="68251DA1"/>
    <w:multiLevelType w:val="hybridMultilevel"/>
    <w:tmpl w:val="8FE84080"/>
    <w:numStyleLink w:val="ImportedStyle36"/>
  </w:abstractNum>
  <w:abstractNum w:abstractNumId="55">
    <w:nsid w:val="68D173A8"/>
    <w:multiLevelType w:val="hybridMultilevel"/>
    <w:tmpl w:val="8C24B5EE"/>
    <w:styleLink w:val="ImportedStyle40"/>
    <w:lvl w:ilvl="0" w:tplc="ED904024">
      <w:start w:val="1"/>
      <w:numFmt w:val="bullet"/>
      <w:lvlText w:val="•"/>
      <w:lvlJc w:val="left"/>
      <w:pPr>
        <w:tabs>
          <w:tab w:val="num" w:pos="690"/>
        </w:tabs>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34E49226">
      <w:start w:val="1"/>
      <w:numFmt w:val="bullet"/>
      <w:lvlText w:val="o"/>
      <w:lvlJc w:val="left"/>
      <w:pPr>
        <w:tabs>
          <w:tab w:val="left" w:pos="690"/>
          <w:tab w:val="num" w:pos="1440"/>
        </w:tabs>
        <w:ind w:left="1470" w:hanging="39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404618E8">
      <w:start w:val="1"/>
      <w:numFmt w:val="bullet"/>
      <w:lvlText w:val="▪"/>
      <w:lvlJc w:val="left"/>
      <w:pPr>
        <w:tabs>
          <w:tab w:val="left" w:pos="690"/>
          <w:tab w:val="num" w:pos="2160"/>
        </w:tabs>
        <w:ind w:left="2190" w:hanging="39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0C085DA">
      <w:start w:val="1"/>
      <w:numFmt w:val="bullet"/>
      <w:lvlText w:val="•"/>
      <w:lvlJc w:val="left"/>
      <w:pPr>
        <w:tabs>
          <w:tab w:val="left" w:pos="690"/>
          <w:tab w:val="num" w:pos="2880"/>
        </w:tabs>
        <w:ind w:left="2910" w:hanging="39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8FB4691C">
      <w:start w:val="1"/>
      <w:numFmt w:val="bullet"/>
      <w:lvlText w:val="o"/>
      <w:lvlJc w:val="left"/>
      <w:pPr>
        <w:tabs>
          <w:tab w:val="left" w:pos="690"/>
          <w:tab w:val="num" w:pos="3600"/>
        </w:tabs>
        <w:ind w:left="3630" w:hanging="39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BD87F86">
      <w:start w:val="1"/>
      <w:numFmt w:val="bullet"/>
      <w:lvlText w:val="▪"/>
      <w:lvlJc w:val="left"/>
      <w:pPr>
        <w:tabs>
          <w:tab w:val="left" w:pos="690"/>
          <w:tab w:val="num" w:pos="4320"/>
        </w:tabs>
        <w:ind w:left="4350" w:hanging="39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B7607CE0">
      <w:start w:val="1"/>
      <w:numFmt w:val="bullet"/>
      <w:lvlText w:val="•"/>
      <w:lvlJc w:val="left"/>
      <w:pPr>
        <w:tabs>
          <w:tab w:val="left" w:pos="690"/>
          <w:tab w:val="num" w:pos="5040"/>
        </w:tabs>
        <w:ind w:left="5070" w:hanging="39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16C6F5E0">
      <w:start w:val="1"/>
      <w:numFmt w:val="bullet"/>
      <w:lvlText w:val="o"/>
      <w:lvlJc w:val="left"/>
      <w:pPr>
        <w:tabs>
          <w:tab w:val="left" w:pos="690"/>
          <w:tab w:val="num" w:pos="5760"/>
        </w:tabs>
        <w:ind w:left="5790" w:hanging="39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46E2BC9A">
      <w:start w:val="1"/>
      <w:numFmt w:val="bullet"/>
      <w:lvlText w:val="▪"/>
      <w:lvlJc w:val="left"/>
      <w:pPr>
        <w:tabs>
          <w:tab w:val="left" w:pos="690"/>
          <w:tab w:val="num" w:pos="6480"/>
        </w:tabs>
        <w:ind w:left="6510" w:hanging="39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nsid w:val="690416FC"/>
    <w:multiLevelType w:val="hybridMultilevel"/>
    <w:tmpl w:val="FF1EC8C6"/>
    <w:numStyleLink w:val="ImportedStyle3"/>
  </w:abstractNum>
  <w:abstractNum w:abstractNumId="57">
    <w:nsid w:val="6D831BCF"/>
    <w:multiLevelType w:val="hybridMultilevel"/>
    <w:tmpl w:val="F968B06C"/>
    <w:styleLink w:val="Bullets"/>
    <w:lvl w:ilvl="0" w:tplc="90DA739C">
      <w:start w:val="1"/>
      <w:numFmt w:val="bullet"/>
      <w:lvlText w:val="•"/>
      <w:lvlJc w:val="left"/>
      <w:pPr>
        <w:ind w:left="174" w:hanging="1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A9A0D150">
      <w:start w:val="1"/>
      <w:numFmt w:val="bullet"/>
      <w:lvlText w:val="•"/>
      <w:lvlJc w:val="left"/>
      <w:pPr>
        <w:ind w:left="7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5F465824">
      <w:start w:val="1"/>
      <w:numFmt w:val="bullet"/>
      <w:lvlText w:val="•"/>
      <w:lvlJc w:val="left"/>
      <w:pPr>
        <w:ind w:left="13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F45648FE">
      <w:start w:val="1"/>
      <w:numFmt w:val="bullet"/>
      <w:lvlText w:val="•"/>
      <w:lvlJc w:val="left"/>
      <w:pPr>
        <w:ind w:left="19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A76A39A0">
      <w:start w:val="1"/>
      <w:numFmt w:val="bullet"/>
      <w:lvlText w:val="•"/>
      <w:lvlJc w:val="left"/>
      <w:pPr>
        <w:ind w:left="25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2F5AD3FE">
      <w:start w:val="1"/>
      <w:numFmt w:val="bullet"/>
      <w:lvlText w:val="•"/>
      <w:lvlJc w:val="left"/>
      <w:pPr>
        <w:ind w:left="31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5118910E">
      <w:start w:val="1"/>
      <w:numFmt w:val="bullet"/>
      <w:lvlText w:val="•"/>
      <w:lvlJc w:val="left"/>
      <w:pPr>
        <w:ind w:left="37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4FE699DE">
      <w:start w:val="1"/>
      <w:numFmt w:val="bullet"/>
      <w:lvlText w:val="•"/>
      <w:lvlJc w:val="left"/>
      <w:pPr>
        <w:ind w:left="43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5F3AA2A6">
      <w:start w:val="1"/>
      <w:numFmt w:val="bullet"/>
      <w:lvlText w:val="•"/>
      <w:lvlJc w:val="left"/>
      <w:pPr>
        <w:ind w:left="49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58">
    <w:nsid w:val="719B0600"/>
    <w:multiLevelType w:val="hybridMultilevel"/>
    <w:tmpl w:val="353A7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2033BC7"/>
    <w:multiLevelType w:val="hybridMultilevel"/>
    <w:tmpl w:val="65503B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61F58DD"/>
    <w:multiLevelType w:val="hybridMultilevel"/>
    <w:tmpl w:val="D32CDF9A"/>
    <w:styleLink w:val="ImportedStyle4"/>
    <w:lvl w:ilvl="0" w:tplc="CA687694">
      <w:start w:val="1"/>
      <w:numFmt w:val="bullet"/>
      <w:lvlText w:val="•"/>
      <w:lvlJc w:val="left"/>
      <w:pPr>
        <w:tabs>
          <w:tab w:val="num" w:pos="690"/>
        </w:tabs>
        <w:ind w:left="709" w:hanging="283"/>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1" w:tplc="9A9E33DA">
      <w:start w:val="1"/>
      <w:numFmt w:val="bullet"/>
      <w:lvlText w:val="o"/>
      <w:lvlJc w:val="left"/>
      <w:pPr>
        <w:tabs>
          <w:tab w:val="left" w:pos="690"/>
          <w:tab w:val="num" w:pos="1429"/>
        </w:tabs>
        <w:ind w:left="1448" w:hanging="302"/>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2" w:tplc="A65223FA">
      <w:start w:val="1"/>
      <w:numFmt w:val="bullet"/>
      <w:lvlText w:val="▪"/>
      <w:lvlJc w:val="left"/>
      <w:pPr>
        <w:tabs>
          <w:tab w:val="left" w:pos="690"/>
          <w:tab w:val="num" w:pos="2149"/>
        </w:tabs>
        <w:ind w:left="2168" w:hanging="302"/>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3" w:tplc="80A6CDF6">
      <w:start w:val="1"/>
      <w:numFmt w:val="bullet"/>
      <w:lvlText w:val="•"/>
      <w:lvlJc w:val="left"/>
      <w:pPr>
        <w:tabs>
          <w:tab w:val="left" w:pos="690"/>
          <w:tab w:val="num" w:pos="2869"/>
        </w:tabs>
        <w:ind w:left="2888" w:hanging="302"/>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4" w:tplc="D96E002E">
      <w:start w:val="1"/>
      <w:numFmt w:val="bullet"/>
      <w:lvlText w:val="o"/>
      <w:lvlJc w:val="left"/>
      <w:pPr>
        <w:tabs>
          <w:tab w:val="left" w:pos="690"/>
          <w:tab w:val="num" w:pos="3589"/>
        </w:tabs>
        <w:ind w:left="3608" w:hanging="302"/>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5" w:tplc="6640198C">
      <w:start w:val="1"/>
      <w:numFmt w:val="bullet"/>
      <w:lvlText w:val="▪"/>
      <w:lvlJc w:val="left"/>
      <w:pPr>
        <w:tabs>
          <w:tab w:val="left" w:pos="690"/>
          <w:tab w:val="num" w:pos="4309"/>
        </w:tabs>
        <w:ind w:left="4328" w:hanging="302"/>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6" w:tplc="6C8A8202">
      <w:start w:val="1"/>
      <w:numFmt w:val="bullet"/>
      <w:lvlText w:val="•"/>
      <w:lvlJc w:val="left"/>
      <w:pPr>
        <w:tabs>
          <w:tab w:val="left" w:pos="690"/>
          <w:tab w:val="num" w:pos="5029"/>
        </w:tabs>
        <w:ind w:left="5048" w:hanging="302"/>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7" w:tplc="0598E2FE">
      <w:start w:val="1"/>
      <w:numFmt w:val="bullet"/>
      <w:lvlText w:val="o"/>
      <w:lvlJc w:val="left"/>
      <w:pPr>
        <w:tabs>
          <w:tab w:val="left" w:pos="690"/>
          <w:tab w:val="num" w:pos="5749"/>
        </w:tabs>
        <w:ind w:left="5768" w:hanging="302"/>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 w:ilvl="8" w:tplc="D1B6B274">
      <w:start w:val="1"/>
      <w:numFmt w:val="bullet"/>
      <w:lvlText w:val="▪"/>
      <w:lvlJc w:val="left"/>
      <w:pPr>
        <w:tabs>
          <w:tab w:val="left" w:pos="690"/>
          <w:tab w:val="num" w:pos="6469"/>
        </w:tabs>
        <w:ind w:left="6488" w:hanging="302"/>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1">
    <w:nsid w:val="76A45656"/>
    <w:multiLevelType w:val="hybridMultilevel"/>
    <w:tmpl w:val="C5A27956"/>
    <w:numStyleLink w:val="ImportedStyle9"/>
  </w:abstractNum>
  <w:abstractNum w:abstractNumId="62">
    <w:nsid w:val="77695BD4"/>
    <w:multiLevelType w:val="hybridMultilevel"/>
    <w:tmpl w:val="1FD20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78E62F1"/>
    <w:multiLevelType w:val="hybridMultilevel"/>
    <w:tmpl w:val="DC8EF6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78B33208"/>
    <w:multiLevelType w:val="hybridMultilevel"/>
    <w:tmpl w:val="57F0E612"/>
    <w:numStyleLink w:val="ImportedStyle2"/>
  </w:abstractNum>
  <w:abstractNum w:abstractNumId="65">
    <w:nsid w:val="7D270D94"/>
    <w:multiLevelType w:val="hybridMultilevel"/>
    <w:tmpl w:val="489AA3C2"/>
    <w:numStyleLink w:val="ImportedStyle571"/>
  </w:abstractNum>
  <w:num w:numId="1">
    <w:abstractNumId w:val="31"/>
  </w:num>
  <w:num w:numId="2">
    <w:abstractNumId w:val="2"/>
  </w:num>
  <w:num w:numId="3">
    <w:abstractNumId w:val="11"/>
  </w:num>
  <w:num w:numId="4">
    <w:abstractNumId w:val="45"/>
  </w:num>
  <w:num w:numId="5">
    <w:abstractNumId w:val="19"/>
  </w:num>
  <w:num w:numId="6">
    <w:abstractNumId w:val="0"/>
  </w:num>
  <w:num w:numId="7">
    <w:abstractNumId w:val="4"/>
  </w:num>
  <w:num w:numId="8">
    <w:abstractNumId w:val="39"/>
  </w:num>
  <w:num w:numId="9">
    <w:abstractNumId w:val="63"/>
  </w:num>
  <w:num w:numId="10">
    <w:abstractNumId w:val="58"/>
  </w:num>
  <w:num w:numId="11">
    <w:abstractNumId w:val="22"/>
  </w:num>
  <w:num w:numId="12">
    <w:abstractNumId w:val="43"/>
  </w:num>
  <w:num w:numId="13">
    <w:abstractNumId w:val="42"/>
  </w:num>
  <w:num w:numId="14">
    <w:abstractNumId w:val="61"/>
  </w:num>
  <w:num w:numId="15">
    <w:abstractNumId w:val="9"/>
  </w:num>
  <w:num w:numId="16">
    <w:abstractNumId w:val="64"/>
  </w:num>
  <w:num w:numId="17">
    <w:abstractNumId w:val="61"/>
    <w:lvlOverride w:ilvl="0">
      <w:startOverride w:val="2"/>
    </w:lvlOverride>
  </w:num>
  <w:num w:numId="18">
    <w:abstractNumId w:val="12"/>
  </w:num>
  <w:num w:numId="19">
    <w:abstractNumId w:val="34"/>
    <w:lvlOverride w:ilvl="0">
      <w:startOverride w:val="4"/>
    </w:lvlOverride>
  </w:num>
  <w:num w:numId="20">
    <w:abstractNumId w:val="34"/>
    <w:lvlOverride w:ilvl="0">
      <w:startOverride w:val="5"/>
      <w:lvl w:ilvl="0" w:tplc="5CD0FBCE">
        <w:start w:val="5"/>
        <w:numFmt w:val="decimal"/>
        <w:lvlText w:val="%1."/>
        <w:lvlJc w:val="left"/>
        <w:pPr>
          <w:tabs>
            <w:tab w:val="left" w:pos="690"/>
          </w:tabs>
          <w:ind w:left="663" w:hanging="303"/>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ACD88F1C">
        <w:start w:val="1"/>
        <w:numFmt w:val="lowerLetter"/>
        <w:lvlText w:val="%2."/>
        <w:lvlJc w:val="left"/>
        <w:pPr>
          <w:tabs>
            <w:tab w:val="left" w:pos="690"/>
          </w:tabs>
          <w:ind w:left="1413" w:hanging="333"/>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2F24736">
        <w:start w:val="1"/>
        <w:numFmt w:val="lowerRoman"/>
        <w:lvlText w:val="%3."/>
        <w:lvlJc w:val="left"/>
        <w:pPr>
          <w:tabs>
            <w:tab w:val="left" w:pos="690"/>
          </w:tabs>
          <w:ind w:left="2133" w:hanging="269"/>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71960982">
        <w:start w:val="1"/>
        <w:numFmt w:val="decimal"/>
        <w:lvlText w:val="%4."/>
        <w:lvlJc w:val="left"/>
        <w:pPr>
          <w:tabs>
            <w:tab w:val="left" w:pos="690"/>
          </w:tabs>
          <w:ind w:left="2853" w:hanging="333"/>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3642FF48">
        <w:start w:val="1"/>
        <w:numFmt w:val="lowerLetter"/>
        <w:lvlText w:val="%5."/>
        <w:lvlJc w:val="left"/>
        <w:pPr>
          <w:tabs>
            <w:tab w:val="left" w:pos="690"/>
          </w:tabs>
          <w:ind w:left="3573" w:hanging="333"/>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510ED8E">
        <w:start w:val="1"/>
        <w:numFmt w:val="lowerRoman"/>
        <w:lvlText w:val="%6."/>
        <w:lvlJc w:val="left"/>
        <w:pPr>
          <w:tabs>
            <w:tab w:val="left" w:pos="690"/>
          </w:tabs>
          <w:ind w:left="4293" w:hanging="269"/>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0BDC66D6">
        <w:start w:val="1"/>
        <w:numFmt w:val="decimal"/>
        <w:lvlText w:val="%7."/>
        <w:lvlJc w:val="left"/>
        <w:pPr>
          <w:tabs>
            <w:tab w:val="left" w:pos="690"/>
          </w:tabs>
          <w:ind w:left="5013" w:hanging="333"/>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95E29974">
        <w:start w:val="1"/>
        <w:numFmt w:val="lowerLetter"/>
        <w:lvlText w:val="%8."/>
        <w:lvlJc w:val="left"/>
        <w:pPr>
          <w:tabs>
            <w:tab w:val="left" w:pos="690"/>
          </w:tabs>
          <w:ind w:left="5733" w:hanging="333"/>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A03CB7F0">
        <w:start w:val="1"/>
        <w:numFmt w:val="lowerRoman"/>
        <w:lvlText w:val="%9."/>
        <w:lvlJc w:val="left"/>
        <w:pPr>
          <w:tabs>
            <w:tab w:val="left" w:pos="690"/>
          </w:tabs>
          <w:ind w:left="6453" w:hanging="269"/>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21">
    <w:abstractNumId w:val="7"/>
  </w:num>
  <w:num w:numId="22">
    <w:abstractNumId w:val="48"/>
    <w:lvlOverride w:ilvl="0">
      <w:startOverride w:val="6"/>
    </w:lvlOverride>
  </w:num>
  <w:num w:numId="23">
    <w:abstractNumId w:val="47"/>
  </w:num>
  <w:num w:numId="24">
    <w:abstractNumId w:val="56"/>
  </w:num>
  <w:num w:numId="25">
    <w:abstractNumId w:val="48"/>
    <w:lvlOverride w:ilvl="0">
      <w:startOverride w:val="7"/>
      <w:lvl w:ilvl="0" w:tplc="A52ADF06">
        <w:start w:val="7"/>
        <w:numFmt w:val="decimal"/>
        <w:lvlText w:val="%1."/>
        <w:lvlJc w:val="left"/>
        <w:pPr>
          <w:tabs>
            <w:tab w:val="left" w:pos="720"/>
          </w:tabs>
          <w:ind w:left="690" w:hanging="330"/>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807A4F8C">
        <w:start w:val="1"/>
        <w:numFmt w:val="lowerLetter"/>
        <w:lvlText w:val="%2."/>
        <w:lvlJc w:val="left"/>
        <w:pPr>
          <w:tabs>
            <w:tab w:val="left" w:pos="720"/>
          </w:tabs>
          <w:ind w:left="1410" w:hanging="330"/>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1C60464">
        <w:start w:val="1"/>
        <w:numFmt w:val="lowerRoman"/>
        <w:lvlText w:val="%3."/>
        <w:lvlJc w:val="left"/>
        <w:pPr>
          <w:tabs>
            <w:tab w:val="left" w:pos="720"/>
          </w:tabs>
          <w:ind w:left="2130" w:hanging="266"/>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F2A3880">
        <w:start w:val="1"/>
        <w:numFmt w:val="decimal"/>
        <w:lvlText w:val="%4."/>
        <w:lvlJc w:val="left"/>
        <w:pPr>
          <w:tabs>
            <w:tab w:val="left" w:pos="720"/>
          </w:tabs>
          <w:ind w:left="2850" w:hanging="330"/>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EA289354">
        <w:start w:val="1"/>
        <w:numFmt w:val="lowerLetter"/>
        <w:lvlText w:val="%5."/>
        <w:lvlJc w:val="left"/>
        <w:pPr>
          <w:tabs>
            <w:tab w:val="left" w:pos="720"/>
          </w:tabs>
          <w:ind w:left="3570" w:hanging="330"/>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803E66A0">
        <w:start w:val="1"/>
        <w:numFmt w:val="lowerRoman"/>
        <w:lvlText w:val="%6."/>
        <w:lvlJc w:val="left"/>
        <w:pPr>
          <w:tabs>
            <w:tab w:val="left" w:pos="720"/>
          </w:tabs>
          <w:ind w:left="4290" w:hanging="266"/>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9E98AE20">
        <w:start w:val="1"/>
        <w:numFmt w:val="decimal"/>
        <w:lvlText w:val="%7."/>
        <w:lvlJc w:val="left"/>
        <w:pPr>
          <w:tabs>
            <w:tab w:val="left" w:pos="720"/>
          </w:tabs>
          <w:ind w:left="5010" w:hanging="330"/>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86922990">
        <w:start w:val="1"/>
        <w:numFmt w:val="lowerLetter"/>
        <w:lvlText w:val="%8."/>
        <w:lvlJc w:val="left"/>
        <w:pPr>
          <w:tabs>
            <w:tab w:val="left" w:pos="720"/>
          </w:tabs>
          <w:ind w:left="5730" w:hanging="330"/>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E2253D0">
        <w:start w:val="1"/>
        <w:numFmt w:val="lowerRoman"/>
        <w:lvlText w:val="%9."/>
        <w:lvlJc w:val="left"/>
        <w:pPr>
          <w:tabs>
            <w:tab w:val="left" w:pos="720"/>
          </w:tabs>
          <w:ind w:left="6450" w:hanging="266"/>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26">
    <w:abstractNumId w:val="14"/>
  </w:num>
  <w:num w:numId="27">
    <w:abstractNumId w:val="24"/>
  </w:num>
  <w:num w:numId="28">
    <w:abstractNumId w:val="24"/>
    <w:lvlOverride w:ilvl="0">
      <w:lvl w:ilvl="0" w:tplc="0E3C7016">
        <w:start w:val="1"/>
        <w:numFmt w:val="bullet"/>
        <w:lvlText w:val="•"/>
        <w:lvlJc w:val="left"/>
        <w:pPr>
          <w:tabs>
            <w:tab w:val="num" w:pos="690"/>
          </w:tabs>
          <w:ind w:left="851" w:hanging="425"/>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6FC2D9C0">
        <w:start w:val="1"/>
        <w:numFmt w:val="bullet"/>
        <w:lvlText w:val="o"/>
        <w:lvlJc w:val="left"/>
        <w:pPr>
          <w:tabs>
            <w:tab w:val="left" w:pos="690"/>
            <w:tab w:val="num" w:pos="1571"/>
          </w:tabs>
          <w:ind w:left="1732" w:hanging="586"/>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5B9027CC">
        <w:start w:val="1"/>
        <w:numFmt w:val="bullet"/>
        <w:lvlText w:val="▪"/>
        <w:lvlJc w:val="left"/>
        <w:pPr>
          <w:tabs>
            <w:tab w:val="left" w:pos="690"/>
            <w:tab w:val="num" w:pos="2291"/>
          </w:tabs>
          <w:ind w:left="2452" w:hanging="586"/>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4125022">
        <w:start w:val="1"/>
        <w:numFmt w:val="bullet"/>
        <w:lvlText w:val="•"/>
        <w:lvlJc w:val="left"/>
        <w:pPr>
          <w:tabs>
            <w:tab w:val="left" w:pos="690"/>
            <w:tab w:val="num" w:pos="3011"/>
          </w:tabs>
          <w:ind w:left="3172" w:hanging="586"/>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7D604C6E">
        <w:start w:val="1"/>
        <w:numFmt w:val="bullet"/>
        <w:lvlText w:val="o"/>
        <w:lvlJc w:val="left"/>
        <w:pPr>
          <w:tabs>
            <w:tab w:val="left" w:pos="690"/>
            <w:tab w:val="num" w:pos="3731"/>
          </w:tabs>
          <w:ind w:left="3892" w:hanging="586"/>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6E03AAE">
        <w:start w:val="1"/>
        <w:numFmt w:val="bullet"/>
        <w:lvlText w:val="▪"/>
        <w:lvlJc w:val="left"/>
        <w:pPr>
          <w:tabs>
            <w:tab w:val="left" w:pos="690"/>
            <w:tab w:val="num" w:pos="4451"/>
          </w:tabs>
          <w:ind w:left="4612" w:hanging="586"/>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7604D66">
        <w:start w:val="1"/>
        <w:numFmt w:val="bullet"/>
        <w:lvlText w:val="•"/>
        <w:lvlJc w:val="left"/>
        <w:pPr>
          <w:tabs>
            <w:tab w:val="left" w:pos="690"/>
            <w:tab w:val="num" w:pos="5171"/>
          </w:tabs>
          <w:ind w:left="5332" w:hanging="586"/>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A3AC858A">
        <w:start w:val="1"/>
        <w:numFmt w:val="bullet"/>
        <w:lvlText w:val="o"/>
        <w:lvlJc w:val="left"/>
        <w:pPr>
          <w:tabs>
            <w:tab w:val="left" w:pos="690"/>
            <w:tab w:val="num" w:pos="5891"/>
          </w:tabs>
          <w:ind w:left="6052" w:hanging="586"/>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89A4F058">
        <w:start w:val="1"/>
        <w:numFmt w:val="bullet"/>
        <w:lvlText w:val="▪"/>
        <w:lvlJc w:val="left"/>
        <w:pPr>
          <w:tabs>
            <w:tab w:val="left" w:pos="690"/>
            <w:tab w:val="num" w:pos="6611"/>
          </w:tabs>
          <w:ind w:left="6772" w:hanging="586"/>
        </w:pPr>
        <w:rPr>
          <w:rFonts w:ascii="Trebuchet MS" w:eastAsia="Trebuchet MS" w:hAnsi="Trebuchet MS" w:cs="Trebuchet MS"/>
          <w:b/>
          <w:bCs/>
          <w:i w:val="0"/>
          <w:iCs w:val="0"/>
          <w:caps w:val="0"/>
          <w:smallCaps w:val="0"/>
          <w:strike w:val="0"/>
          <w:dstrike w:val="0"/>
          <w:outline w:val="0"/>
          <w:emboss w:val="0"/>
          <w:imprint w:val="0"/>
          <w:color w:val="000000"/>
          <w:spacing w:val="0"/>
          <w:w w:val="100"/>
          <w:kern w:val="0"/>
          <w:position w:val="0"/>
          <w:highlight w:val="none"/>
          <w:vertAlign w:val="baseline"/>
        </w:rPr>
      </w:lvl>
    </w:lvlOverride>
  </w:num>
  <w:num w:numId="29">
    <w:abstractNumId w:val="15"/>
  </w:num>
  <w:num w:numId="30">
    <w:abstractNumId w:val="10"/>
  </w:num>
  <w:num w:numId="31">
    <w:abstractNumId w:val="50"/>
  </w:num>
  <w:num w:numId="32">
    <w:abstractNumId w:val="54"/>
  </w:num>
  <w:num w:numId="33">
    <w:abstractNumId w:val="37"/>
  </w:num>
  <w:num w:numId="34">
    <w:abstractNumId w:val="41"/>
  </w:num>
  <w:num w:numId="35">
    <w:abstractNumId w:val="10"/>
    <w:lvlOverride w:ilvl="0">
      <w:lvl w:ilvl="0" w:tplc="810AE3B2">
        <w:start w:val="1"/>
        <w:numFmt w:val="bullet"/>
        <w:lvlText w:val="•"/>
        <w:lvlJc w:val="left"/>
        <w:pPr>
          <w:tabs>
            <w:tab w:val="left" w:pos="690"/>
            <w:tab w:val="left" w:pos="1410"/>
          </w:tabs>
          <w:ind w:left="663" w:hanging="3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122BBDA">
        <w:start w:val="1"/>
        <w:numFmt w:val="bullet"/>
        <w:lvlText w:val="o"/>
        <w:lvlJc w:val="left"/>
        <w:pPr>
          <w:tabs>
            <w:tab w:val="left" w:pos="690"/>
            <w:tab w:val="left" w:pos="1410"/>
          </w:tabs>
          <w:ind w:left="1383" w:hanging="3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FB6EDE6">
        <w:start w:val="1"/>
        <w:numFmt w:val="bullet"/>
        <w:lvlText w:val="▪"/>
        <w:lvlJc w:val="left"/>
        <w:pPr>
          <w:tabs>
            <w:tab w:val="left" w:pos="690"/>
            <w:tab w:val="left" w:pos="1410"/>
          </w:tabs>
          <w:ind w:left="2103" w:hanging="3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58828CC">
        <w:start w:val="1"/>
        <w:numFmt w:val="bullet"/>
        <w:lvlText w:val="•"/>
        <w:lvlJc w:val="left"/>
        <w:pPr>
          <w:tabs>
            <w:tab w:val="left" w:pos="690"/>
            <w:tab w:val="left" w:pos="1410"/>
          </w:tabs>
          <w:ind w:left="2823" w:hanging="3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1E43A8A">
        <w:start w:val="1"/>
        <w:numFmt w:val="bullet"/>
        <w:lvlText w:val="o"/>
        <w:lvlJc w:val="left"/>
        <w:pPr>
          <w:tabs>
            <w:tab w:val="left" w:pos="690"/>
            <w:tab w:val="left" w:pos="1410"/>
          </w:tabs>
          <w:ind w:left="3543" w:hanging="3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C9C39D4">
        <w:start w:val="1"/>
        <w:numFmt w:val="bullet"/>
        <w:lvlText w:val="▪"/>
        <w:lvlJc w:val="left"/>
        <w:pPr>
          <w:tabs>
            <w:tab w:val="left" w:pos="690"/>
            <w:tab w:val="left" w:pos="1410"/>
          </w:tabs>
          <w:ind w:left="4263" w:hanging="3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11EEB72">
        <w:start w:val="1"/>
        <w:numFmt w:val="bullet"/>
        <w:lvlText w:val="•"/>
        <w:lvlJc w:val="left"/>
        <w:pPr>
          <w:tabs>
            <w:tab w:val="left" w:pos="690"/>
            <w:tab w:val="left" w:pos="1410"/>
          </w:tabs>
          <w:ind w:left="4983" w:hanging="3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C1208CC">
        <w:start w:val="1"/>
        <w:numFmt w:val="bullet"/>
        <w:lvlText w:val="o"/>
        <w:lvlJc w:val="left"/>
        <w:pPr>
          <w:tabs>
            <w:tab w:val="left" w:pos="690"/>
            <w:tab w:val="left" w:pos="1410"/>
          </w:tabs>
          <w:ind w:left="5703" w:hanging="3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294A1DE">
        <w:start w:val="1"/>
        <w:numFmt w:val="bullet"/>
        <w:lvlText w:val="▪"/>
        <w:lvlJc w:val="left"/>
        <w:pPr>
          <w:tabs>
            <w:tab w:val="left" w:pos="690"/>
            <w:tab w:val="left" w:pos="1410"/>
          </w:tabs>
          <w:ind w:left="6423" w:hanging="3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6">
    <w:abstractNumId w:val="18"/>
  </w:num>
  <w:num w:numId="37">
    <w:abstractNumId w:val="6"/>
  </w:num>
  <w:num w:numId="38">
    <w:abstractNumId w:val="60"/>
  </w:num>
  <w:num w:numId="39">
    <w:abstractNumId w:val="29"/>
  </w:num>
  <w:num w:numId="40">
    <w:abstractNumId w:val="27"/>
  </w:num>
  <w:num w:numId="41">
    <w:abstractNumId w:val="44"/>
  </w:num>
  <w:num w:numId="42">
    <w:abstractNumId w:val="20"/>
  </w:num>
  <w:num w:numId="43">
    <w:abstractNumId w:val="49"/>
  </w:num>
  <w:num w:numId="44">
    <w:abstractNumId w:val="49"/>
    <w:lvlOverride w:ilvl="0">
      <w:lvl w:ilvl="0" w:tplc="4718CABE">
        <w:start w:val="1"/>
        <w:numFmt w:val="decimal"/>
        <w:lvlText w:val="%1."/>
        <w:lvlJc w:val="left"/>
        <w:pPr>
          <w:ind w:left="709" w:hanging="5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0168AAA">
        <w:start w:val="1"/>
        <w:numFmt w:val="lowerLetter"/>
        <w:lvlText w:val="%2."/>
        <w:lvlJc w:val="left"/>
        <w:pPr>
          <w:ind w:left="1560" w:hanging="4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39A1878">
        <w:start w:val="1"/>
        <w:numFmt w:val="lowerRoman"/>
        <w:lvlText w:val="%3."/>
        <w:lvlJc w:val="left"/>
        <w:pPr>
          <w:ind w:left="2280"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300F9BC">
        <w:start w:val="1"/>
        <w:numFmt w:val="decimal"/>
        <w:lvlText w:val="%4."/>
        <w:lvlJc w:val="left"/>
        <w:pPr>
          <w:ind w:left="3000" w:hanging="4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63487F0">
        <w:start w:val="1"/>
        <w:numFmt w:val="lowerLetter"/>
        <w:lvlText w:val="%5."/>
        <w:lvlJc w:val="left"/>
        <w:pPr>
          <w:ind w:left="3720" w:hanging="4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5B8B160">
        <w:start w:val="1"/>
        <w:numFmt w:val="lowerRoman"/>
        <w:lvlText w:val="%6."/>
        <w:lvlJc w:val="left"/>
        <w:pPr>
          <w:ind w:left="4440"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8B0063E">
        <w:start w:val="1"/>
        <w:numFmt w:val="decimal"/>
        <w:lvlText w:val="%7."/>
        <w:lvlJc w:val="left"/>
        <w:pPr>
          <w:ind w:left="5160" w:hanging="4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4D4D912">
        <w:start w:val="1"/>
        <w:numFmt w:val="lowerLetter"/>
        <w:lvlText w:val="%8."/>
        <w:lvlJc w:val="left"/>
        <w:pPr>
          <w:ind w:left="5880" w:hanging="4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1B0C610">
        <w:start w:val="1"/>
        <w:numFmt w:val="lowerRoman"/>
        <w:lvlText w:val="%9."/>
        <w:lvlJc w:val="left"/>
        <w:pPr>
          <w:ind w:left="6600" w:hanging="34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49"/>
    <w:lvlOverride w:ilvl="0">
      <w:lvl w:ilvl="0" w:tplc="4718CABE">
        <w:start w:val="1"/>
        <w:numFmt w:val="decimal"/>
        <w:lvlText w:val="%1."/>
        <w:lvlJc w:val="left"/>
        <w:pPr>
          <w:ind w:left="70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0168AAA">
        <w:start w:val="1"/>
        <w:numFmt w:val="lowerLetter"/>
        <w:lvlText w:val="%2."/>
        <w:lvlJc w:val="left"/>
        <w:pPr>
          <w:ind w:left="142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39A1878">
        <w:start w:val="1"/>
        <w:numFmt w:val="lowerRoman"/>
        <w:lvlText w:val="%3."/>
        <w:lvlJc w:val="left"/>
        <w:pPr>
          <w:ind w:left="2149"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300F9BC">
        <w:start w:val="1"/>
        <w:numFmt w:val="decimal"/>
        <w:lvlText w:val="%4."/>
        <w:lvlJc w:val="left"/>
        <w:pPr>
          <w:ind w:left="286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63487F0">
        <w:start w:val="1"/>
        <w:numFmt w:val="lowerLetter"/>
        <w:lvlText w:val="%5."/>
        <w:lvlJc w:val="left"/>
        <w:pPr>
          <w:ind w:left="358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5B8B160">
        <w:start w:val="1"/>
        <w:numFmt w:val="lowerRoman"/>
        <w:lvlText w:val="%6."/>
        <w:lvlJc w:val="left"/>
        <w:pPr>
          <w:ind w:left="4309"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8B0063E">
        <w:start w:val="1"/>
        <w:numFmt w:val="decimal"/>
        <w:lvlText w:val="%7."/>
        <w:lvlJc w:val="left"/>
        <w:pPr>
          <w:ind w:left="502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4D4D912">
        <w:start w:val="1"/>
        <w:numFmt w:val="lowerLetter"/>
        <w:lvlText w:val="%8."/>
        <w:lvlJc w:val="left"/>
        <w:pPr>
          <w:ind w:left="574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1B0C610">
        <w:start w:val="1"/>
        <w:numFmt w:val="lowerRoman"/>
        <w:lvlText w:val="%9."/>
        <w:lvlJc w:val="left"/>
        <w:pPr>
          <w:ind w:left="6469" w:hanging="21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5"/>
  </w:num>
  <w:num w:numId="47">
    <w:abstractNumId w:val="32"/>
  </w:num>
  <w:num w:numId="48">
    <w:abstractNumId w:val="40"/>
  </w:num>
  <w:num w:numId="49">
    <w:abstractNumId w:val="65"/>
  </w:num>
  <w:num w:numId="50">
    <w:abstractNumId w:val="3"/>
  </w:num>
  <w:num w:numId="51">
    <w:abstractNumId w:val="23"/>
  </w:num>
  <w:num w:numId="52">
    <w:abstractNumId w:val="23"/>
    <w:lvlOverride w:ilvl="0">
      <w:lvl w:ilvl="0" w:tplc="64905CA4">
        <w:start w:val="1"/>
        <w:numFmt w:val="bullet"/>
        <w:lvlText w:val="•"/>
        <w:lvlJc w:val="left"/>
        <w:pPr>
          <w:ind w:left="72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7CC09E6">
        <w:start w:val="1"/>
        <w:numFmt w:val="bullet"/>
        <w:lvlText w:val="o"/>
        <w:lvlJc w:val="left"/>
        <w:pPr>
          <w:ind w:left="72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E72775E">
        <w:start w:val="1"/>
        <w:numFmt w:val="bullet"/>
        <w:lvlText w:val="▪"/>
        <w:lvlJc w:val="left"/>
        <w:pPr>
          <w:ind w:left="72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DEC9D66">
        <w:start w:val="1"/>
        <w:numFmt w:val="bullet"/>
        <w:lvlText w:val="▪"/>
        <w:lvlJc w:val="left"/>
        <w:pPr>
          <w:ind w:left="72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F168F5E">
        <w:start w:val="1"/>
        <w:numFmt w:val="bullet"/>
        <w:lvlText w:val="▪"/>
        <w:lvlJc w:val="left"/>
        <w:pPr>
          <w:ind w:left="72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A5A56D4">
        <w:start w:val="1"/>
        <w:numFmt w:val="bullet"/>
        <w:lvlText w:val="▪"/>
        <w:lvlJc w:val="left"/>
        <w:pPr>
          <w:ind w:left="72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82274C2">
        <w:start w:val="1"/>
        <w:numFmt w:val="bullet"/>
        <w:lvlText w:val="▪"/>
        <w:lvlJc w:val="left"/>
        <w:pPr>
          <w:ind w:left="141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8C0112A">
        <w:start w:val="1"/>
        <w:numFmt w:val="bullet"/>
        <w:lvlText w:val="▪"/>
        <w:lvlJc w:val="left"/>
        <w:pPr>
          <w:ind w:left="141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A0EFD00">
        <w:start w:val="1"/>
        <w:numFmt w:val="bullet"/>
        <w:lvlText w:val="▪"/>
        <w:lvlJc w:val="left"/>
        <w:pPr>
          <w:ind w:left="141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abstractNumId w:val="57"/>
  </w:num>
  <w:num w:numId="54">
    <w:abstractNumId w:val="51"/>
  </w:num>
  <w:num w:numId="55">
    <w:abstractNumId w:val="51"/>
    <w:lvlOverride w:ilvl="0">
      <w:lvl w:ilvl="0" w:tplc="08A613FA">
        <w:start w:val="1"/>
        <w:numFmt w:val="bullet"/>
        <w:lvlText w:val="•"/>
        <w:lvlJc w:val="left"/>
        <w:pPr>
          <w:ind w:left="174" w:hanging="1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424588C">
        <w:start w:val="1"/>
        <w:numFmt w:val="bullet"/>
        <w:lvlText w:val="•"/>
        <w:lvlJc w:val="left"/>
        <w:pPr>
          <w:ind w:left="7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396B2F0">
        <w:start w:val="1"/>
        <w:numFmt w:val="bullet"/>
        <w:lvlText w:val="•"/>
        <w:lvlJc w:val="left"/>
        <w:pPr>
          <w:ind w:left="13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95CB670">
        <w:start w:val="1"/>
        <w:numFmt w:val="bullet"/>
        <w:lvlText w:val="•"/>
        <w:lvlJc w:val="left"/>
        <w:pPr>
          <w:ind w:left="19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8049A4A">
        <w:start w:val="1"/>
        <w:numFmt w:val="bullet"/>
        <w:lvlText w:val="•"/>
        <w:lvlJc w:val="left"/>
        <w:pPr>
          <w:ind w:left="25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0CA5BBA">
        <w:start w:val="1"/>
        <w:numFmt w:val="bullet"/>
        <w:lvlText w:val="•"/>
        <w:lvlJc w:val="left"/>
        <w:pPr>
          <w:ind w:left="31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906B766">
        <w:start w:val="1"/>
        <w:numFmt w:val="bullet"/>
        <w:lvlText w:val="•"/>
        <w:lvlJc w:val="left"/>
        <w:pPr>
          <w:ind w:left="37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B44B892">
        <w:start w:val="1"/>
        <w:numFmt w:val="bullet"/>
        <w:lvlText w:val="•"/>
        <w:lvlJc w:val="left"/>
        <w:pPr>
          <w:ind w:left="43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16EB9CC">
        <w:start w:val="1"/>
        <w:numFmt w:val="bullet"/>
        <w:lvlText w:val="•"/>
        <w:lvlJc w:val="left"/>
        <w:pPr>
          <w:ind w:left="49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56">
    <w:abstractNumId w:val="51"/>
    <w:lvlOverride w:ilvl="0">
      <w:lvl w:ilvl="0" w:tplc="08A613FA">
        <w:start w:val="1"/>
        <w:numFmt w:val="bullet"/>
        <w:lvlText w:val="•"/>
        <w:lvlJc w:val="left"/>
        <w:pPr>
          <w:ind w:left="174" w:hanging="17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424588C">
        <w:start w:val="1"/>
        <w:numFmt w:val="bullet"/>
        <w:lvlText w:val="•"/>
        <w:lvlJc w:val="left"/>
        <w:pPr>
          <w:ind w:left="7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396B2F0">
        <w:start w:val="1"/>
        <w:numFmt w:val="bullet"/>
        <w:lvlText w:val="•"/>
        <w:lvlJc w:val="left"/>
        <w:pPr>
          <w:ind w:left="13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95CB670">
        <w:start w:val="1"/>
        <w:numFmt w:val="bullet"/>
        <w:lvlText w:val="•"/>
        <w:lvlJc w:val="left"/>
        <w:pPr>
          <w:ind w:left="19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8049A4A">
        <w:start w:val="1"/>
        <w:numFmt w:val="bullet"/>
        <w:lvlText w:val="•"/>
        <w:lvlJc w:val="left"/>
        <w:pPr>
          <w:ind w:left="25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0CA5BBA">
        <w:start w:val="1"/>
        <w:numFmt w:val="bullet"/>
        <w:lvlText w:val="•"/>
        <w:lvlJc w:val="left"/>
        <w:pPr>
          <w:ind w:left="31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906B766">
        <w:start w:val="1"/>
        <w:numFmt w:val="bullet"/>
        <w:lvlText w:val="•"/>
        <w:lvlJc w:val="left"/>
        <w:pPr>
          <w:ind w:left="37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B44B892">
        <w:start w:val="1"/>
        <w:numFmt w:val="bullet"/>
        <w:lvlText w:val="•"/>
        <w:lvlJc w:val="left"/>
        <w:pPr>
          <w:ind w:left="43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16EB9CC">
        <w:start w:val="1"/>
        <w:numFmt w:val="bullet"/>
        <w:lvlText w:val="•"/>
        <w:lvlJc w:val="left"/>
        <w:pPr>
          <w:ind w:left="4989" w:hanging="189"/>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57">
    <w:abstractNumId w:val="28"/>
  </w:num>
  <w:num w:numId="58">
    <w:abstractNumId w:val="26"/>
  </w:num>
  <w:num w:numId="59">
    <w:abstractNumId w:val="26"/>
    <w:lvlOverride w:ilvl="0">
      <w:lvl w:ilvl="0" w:tplc="7DF23CF2">
        <w:start w:val="1"/>
        <w:numFmt w:val="decimal"/>
        <w:lvlText w:val="%1."/>
        <w:lvlJc w:val="left"/>
        <w:pPr>
          <w:ind w:left="95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7F452DC">
        <w:start w:val="1"/>
        <w:numFmt w:val="decimal"/>
        <w:lvlText w:val="%2."/>
        <w:lvlJc w:val="left"/>
        <w:pPr>
          <w:ind w:left="175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2F463BE">
        <w:start w:val="1"/>
        <w:numFmt w:val="decimal"/>
        <w:lvlText w:val="%3."/>
        <w:lvlJc w:val="left"/>
        <w:pPr>
          <w:ind w:left="255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0AA8F46">
        <w:start w:val="1"/>
        <w:numFmt w:val="decimal"/>
        <w:lvlText w:val="%4."/>
        <w:lvlJc w:val="left"/>
        <w:pPr>
          <w:ind w:left="335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2767DBC">
        <w:start w:val="1"/>
        <w:numFmt w:val="decimal"/>
        <w:lvlText w:val="%5."/>
        <w:lvlJc w:val="left"/>
        <w:pPr>
          <w:ind w:left="415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A72CD1E">
        <w:start w:val="1"/>
        <w:numFmt w:val="decimal"/>
        <w:lvlText w:val="%6."/>
        <w:lvlJc w:val="left"/>
        <w:pPr>
          <w:ind w:left="495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57E25C2">
        <w:start w:val="1"/>
        <w:numFmt w:val="decimal"/>
        <w:lvlText w:val="%7."/>
        <w:lvlJc w:val="left"/>
        <w:pPr>
          <w:ind w:left="575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89895D6">
        <w:start w:val="1"/>
        <w:numFmt w:val="decimal"/>
        <w:lvlText w:val="%8."/>
        <w:lvlJc w:val="left"/>
        <w:pPr>
          <w:ind w:left="655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980961C">
        <w:start w:val="1"/>
        <w:numFmt w:val="decimal"/>
        <w:lvlText w:val="%9."/>
        <w:lvlJc w:val="left"/>
        <w:pPr>
          <w:ind w:left="735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0">
    <w:abstractNumId w:val="55"/>
  </w:num>
  <w:num w:numId="61">
    <w:abstractNumId w:val="53"/>
  </w:num>
  <w:num w:numId="62">
    <w:abstractNumId w:val="1"/>
  </w:num>
  <w:num w:numId="63">
    <w:abstractNumId w:val="13"/>
  </w:num>
  <w:num w:numId="64">
    <w:abstractNumId w:val="52"/>
  </w:num>
  <w:num w:numId="65">
    <w:abstractNumId w:val="8"/>
  </w:num>
  <w:num w:numId="66">
    <w:abstractNumId w:val="38"/>
  </w:num>
  <w:num w:numId="67">
    <w:abstractNumId w:val="16"/>
  </w:num>
  <w:num w:numId="68">
    <w:abstractNumId w:val="35"/>
  </w:num>
  <w:num w:numId="69">
    <w:abstractNumId w:val="59"/>
  </w:num>
  <w:num w:numId="70">
    <w:abstractNumId w:val="21"/>
  </w:num>
  <w:num w:numId="71">
    <w:abstractNumId w:val="17"/>
  </w:num>
  <w:num w:numId="72">
    <w:abstractNumId w:val="46"/>
  </w:num>
  <w:num w:numId="73">
    <w:abstractNumId w:val="30"/>
  </w:num>
  <w:num w:numId="74">
    <w:abstractNumId w:val="25"/>
  </w:num>
  <w:num w:numId="75">
    <w:abstractNumId w:val="62"/>
  </w:num>
  <w:num w:numId="76">
    <w:abstractNumId w:val="33"/>
  </w:num>
  <w:num w:numId="77">
    <w:abstractNumId w:val="3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D7A"/>
    <w:rsid w:val="0000232E"/>
    <w:rsid w:val="00097064"/>
    <w:rsid w:val="000A7E3C"/>
    <w:rsid w:val="00185FC4"/>
    <w:rsid w:val="00227D1E"/>
    <w:rsid w:val="00316453"/>
    <w:rsid w:val="00344F09"/>
    <w:rsid w:val="00376181"/>
    <w:rsid w:val="003871A7"/>
    <w:rsid w:val="00436DFC"/>
    <w:rsid w:val="0044041A"/>
    <w:rsid w:val="004420EB"/>
    <w:rsid w:val="00443B80"/>
    <w:rsid w:val="00471D56"/>
    <w:rsid w:val="00493D7A"/>
    <w:rsid w:val="004C125F"/>
    <w:rsid w:val="00537DA3"/>
    <w:rsid w:val="005F5EC4"/>
    <w:rsid w:val="00635F00"/>
    <w:rsid w:val="00755437"/>
    <w:rsid w:val="007628C3"/>
    <w:rsid w:val="007A2B85"/>
    <w:rsid w:val="00823548"/>
    <w:rsid w:val="008535DE"/>
    <w:rsid w:val="008A524E"/>
    <w:rsid w:val="008B2FDA"/>
    <w:rsid w:val="008C2E72"/>
    <w:rsid w:val="008D78FD"/>
    <w:rsid w:val="00953A07"/>
    <w:rsid w:val="00992602"/>
    <w:rsid w:val="009930A9"/>
    <w:rsid w:val="009A6CA0"/>
    <w:rsid w:val="009F6DBA"/>
    <w:rsid w:val="00A67BAE"/>
    <w:rsid w:val="00AA0E9F"/>
    <w:rsid w:val="00AA443C"/>
    <w:rsid w:val="00AF6713"/>
    <w:rsid w:val="00B32C54"/>
    <w:rsid w:val="00B4566B"/>
    <w:rsid w:val="00B84A81"/>
    <w:rsid w:val="00C2053C"/>
    <w:rsid w:val="00C82D7E"/>
    <w:rsid w:val="00CA2BAC"/>
    <w:rsid w:val="00D11CFF"/>
    <w:rsid w:val="00D33433"/>
    <w:rsid w:val="00D4147F"/>
    <w:rsid w:val="00DA627C"/>
    <w:rsid w:val="00DC225C"/>
    <w:rsid w:val="00DC7B2E"/>
    <w:rsid w:val="00DD21A5"/>
    <w:rsid w:val="00E248D4"/>
    <w:rsid w:val="00F56C68"/>
    <w:rsid w:val="00F64C37"/>
    <w:rsid w:val="00FB5722"/>
    <w:rsid w:val="00FE43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77BD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548"/>
  </w:style>
  <w:style w:type="paragraph" w:styleId="Heading1">
    <w:name w:val="heading 1"/>
    <w:basedOn w:val="Normal"/>
    <w:next w:val="Normal"/>
    <w:link w:val="Heading1Char"/>
    <w:qFormat/>
    <w:rsid w:val="00FB5722"/>
    <w:pPr>
      <w:keepNext/>
      <w:autoSpaceDE w:val="0"/>
      <w:autoSpaceDN w:val="0"/>
      <w:adjustRightInd w:val="0"/>
      <w:spacing w:after="240" w:line="240" w:lineRule="auto"/>
      <w:outlineLvl w:val="0"/>
    </w:pPr>
    <w:rPr>
      <w:rFonts w:ascii="Gill Sans MT" w:eastAsia="Times New Roman" w:hAnsi="Gill Sans MT" w:cs="Arial"/>
      <w:bCs/>
      <w:caps/>
      <w:color w:val="002A6C"/>
      <w:sz w:val="52"/>
      <w:szCs w:val="60"/>
      <w:lang w:val="es-ES"/>
    </w:rPr>
  </w:style>
  <w:style w:type="paragraph" w:styleId="Heading2">
    <w:name w:val="heading 2"/>
    <w:aliases w:val="Char4 Char Char, Char4 Char Char"/>
    <w:link w:val="Heading2Char"/>
    <w:qFormat/>
    <w:rsid w:val="00493D7A"/>
    <w:pPr>
      <w:keepNext/>
      <w:pBdr>
        <w:top w:val="nil"/>
        <w:left w:val="nil"/>
        <w:bottom w:val="nil"/>
        <w:right w:val="nil"/>
        <w:between w:val="nil"/>
        <w:bar w:val="nil"/>
      </w:pBdr>
      <w:spacing w:after="200" w:line="240" w:lineRule="auto"/>
      <w:outlineLvl w:val="1"/>
    </w:pPr>
    <w:rPr>
      <w:rFonts w:ascii="Helvetica" w:eastAsia="Arial Unicode MS" w:hAnsi="Helvetica" w:cs="Arial Unicode MS"/>
      <w:b/>
      <w:bCs/>
      <w:color w:val="000000"/>
      <w:sz w:val="32"/>
      <w:szCs w:val="32"/>
      <w:u w:color="000000"/>
      <w:bdr w:val="nil"/>
      <w:lang w:val="en-US" w:eastAsia="en-GB"/>
    </w:rPr>
  </w:style>
  <w:style w:type="paragraph" w:styleId="Heading3">
    <w:name w:val="heading 3"/>
    <w:basedOn w:val="Normal"/>
    <w:next w:val="Normal"/>
    <w:link w:val="Heading3Char"/>
    <w:uiPriority w:val="9"/>
    <w:semiHidden/>
    <w:unhideWhenUsed/>
    <w:qFormat/>
    <w:rsid w:val="00FB5722"/>
    <w:pPr>
      <w:keepNext/>
      <w:keepLines/>
      <w:spacing w:before="200" w:after="0" w:line="276" w:lineRule="auto"/>
      <w:outlineLvl w:val="2"/>
    </w:pPr>
    <w:rPr>
      <w:rFonts w:ascii="Cambria" w:eastAsia="Times New Roman" w:hAnsi="Cambria" w:cs="Times New Roman"/>
      <w:b/>
      <w:bCs/>
      <w:color w:val="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e de points,List Paragraph (numbered (a)),Numbered List Paragraph"/>
    <w:basedOn w:val="Normal"/>
    <w:link w:val="ListParagraphChar"/>
    <w:uiPriority w:val="34"/>
    <w:qFormat/>
    <w:rsid w:val="00493D7A"/>
    <w:pPr>
      <w:ind w:left="720"/>
      <w:contextualSpacing/>
    </w:pPr>
  </w:style>
  <w:style w:type="table" w:styleId="TableGrid">
    <w:name w:val="Table Grid"/>
    <w:basedOn w:val="TableNormal"/>
    <w:uiPriority w:val="59"/>
    <w:rsid w:val="00493D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Char4 Char Char Char1, Char4 Char Char Char1"/>
    <w:basedOn w:val="DefaultParagraphFont"/>
    <w:link w:val="Heading2"/>
    <w:uiPriority w:val="9"/>
    <w:rsid w:val="00493D7A"/>
    <w:rPr>
      <w:rFonts w:ascii="Helvetica" w:eastAsia="Arial Unicode MS" w:hAnsi="Helvetica" w:cs="Arial Unicode MS"/>
      <w:b/>
      <w:bCs/>
      <w:color w:val="000000"/>
      <w:sz w:val="32"/>
      <w:szCs w:val="32"/>
      <w:u w:color="000000"/>
      <w:bdr w:val="nil"/>
      <w:lang w:val="en-US" w:eastAsia="en-GB"/>
    </w:rPr>
  </w:style>
  <w:style w:type="paragraph" w:customStyle="1" w:styleId="Body">
    <w:name w:val="Body"/>
    <w:rsid w:val="00493D7A"/>
    <w:pPr>
      <w:pBdr>
        <w:top w:val="nil"/>
        <w:left w:val="nil"/>
        <w:bottom w:val="nil"/>
        <w:right w:val="nil"/>
        <w:between w:val="nil"/>
        <w:bar w:val="nil"/>
      </w:pBdr>
      <w:spacing w:after="200" w:line="276" w:lineRule="auto"/>
    </w:pPr>
    <w:rPr>
      <w:rFonts w:ascii="Calibri" w:eastAsia="Calibri" w:hAnsi="Calibri" w:cs="Calibri"/>
      <w:color w:val="000000"/>
      <w:u w:color="000000"/>
      <w:bdr w:val="nil"/>
      <w:lang w:val="de-DE" w:eastAsia="en-GB"/>
    </w:rPr>
  </w:style>
  <w:style w:type="paragraph" w:styleId="NoSpacing">
    <w:name w:val="No Spacing"/>
    <w:link w:val="NoSpacingChar"/>
    <w:uiPriority w:val="1"/>
    <w:qFormat/>
    <w:rsid w:val="00493D7A"/>
    <w:pPr>
      <w:pBdr>
        <w:top w:val="nil"/>
        <w:left w:val="nil"/>
        <w:bottom w:val="nil"/>
        <w:right w:val="nil"/>
        <w:between w:val="nil"/>
        <w:bar w:val="nil"/>
      </w:pBdr>
      <w:spacing w:after="200" w:line="240" w:lineRule="auto"/>
    </w:pPr>
    <w:rPr>
      <w:rFonts w:ascii="Calibri" w:eastAsia="Calibri" w:hAnsi="Calibri" w:cs="Calibri"/>
      <w:color w:val="000000"/>
      <w:u w:color="000000"/>
      <w:bdr w:val="nil"/>
      <w:lang w:val="en-US" w:eastAsia="en-GB"/>
    </w:rPr>
  </w:style>
  <w:style w:type="paragraph" w:customStyle="1" w:styleId="Heading">
    <w:name w:val="Heading"/>
    <w:rsid w:val="00493D7A"/>
    <w:pPr>
      <w:keepNext/>
      <w:pBdr>
        <w:top w:val="nil"/>
        <w:left w:val="nil"/>
        <w:bottom w:val="nil"/>
        <w:right w:val="nil"/>
        <w:between w:val="nil"/>
        <w:bar w:val="nil"/>
      </w:pBdr>
      <w:spacing w:after="200" w:line="240" w:lineRule="auto"/>
      <w:outlineLvl w:val="0"/>
    </w:pPr>
    <w:rPr>
      <w:rFonts w:ascii="Helvetica" w:eastAsia="Arial Unicode MS" w:hAnsi="Helvetica" w:cs="Arial Unicode MS"/>
      <w:b/>
      <w:bCs/>
      <w:color w:val="000000"/>
      <w:sz w:val="36"/>
      <w:szCs w:val="36"/>
      <w:u w:color="000000"/>
      <w:bdr w:val="nil"/>
      <w:lang w:val="en-US" w:eastAsia="en-GB"/>
    </w:rPr>
  </w:style>
  <w:style w:type="paragraph" w:customStyle="1" w:styleId="BodyA">
    <w:name w:val="Body A"/>
    <w:rsid w:val="00493D7A"/>
    <w:pPr>
      <w:pBdr>
        <w:top w:val="nil"/>
        <w:left w:val="nil"/>
        <w:bottom w:val="nil"/>
        <w:right w:val="nil"/>
        <w:between w:val="nil"/>
        <w:bar w:val="nil"/>
      </w:pBdr>
      <w:spacing w:after="200" w:line="240" w:lineRule="auto"/>
    </w:pPr>
    <w:rPr>
      <w:rFonts w:ascii="Helvetica" w:eastAsia="Arial Unicode MS" w:hAnsi="Helvetica" w:cs="Arial Unicode MS"/>
      <w:color w:val="000000"/>
      <w:u w:color="000000"/>
      <w:bdr w:val="nil"/>
      <w:lang w:val="en-US" w:eastAsia="en-GB"/>
    </w:rPr>
  </w:style>
  <w:style w:type="numbering" w:customStyle="1" w:styleId="ImportedStyle1">
    <w:name w:val="Imported Style 1"/>
    <w:rsid w:val="00493D7A"/>
    <w:pPr>
      <w:numPr>
        <w:numId w:val="11"/>
      </w:numPr>
    </w:pPr>
  </w:style>
  <w:style w:type="paragraph" w:customStyle="1" w:styleId="BodyB">
    <w:name w:val="Body B"/>
    <w:rsid w:val="00493D7A"/>
    <w:pPr>
      <w:pBdr>
        <w:top w:val="nil"/>
        <w:left w:val="nil"/>
        <w:bottom w:val="nil"/>
        <w:right w:val="nil"/>
        <w:between w:val="nil"/>
        <w:bar w:val="nil"/>
      </w:pBdr>
      <w:spacing w:after="200" w:line="240" w:lineRule="auto"/>
    </w:pPr>
    <w:rPr>
      <w:rFonts w:ascii="Times New Roman" w:eastAsia="Times New Roman" w:hAnsi="Times New Roman" w:cs="Times New Roman"/>
      <w:color w:val="000000"/>
      <w:sz w:val="24"/>
      <w:szCs w:val="24"/>
      <w:u w:color="000000"/>
      <w:bdr w:val="nil"/>
      <w:lang w:val="en-US" w:eastAsia="en-GB"/>
    </w:rPr>
  </w:style>
  <w:style w:type="paragraph" w:customStyle="1" w:styleId="BodyBA">
    <w:name w:val="Body B A"/>
    <w:rsid w:val="00493D7A"/>
    <w:pPr>
      <w:pBdr>
        <w:top w:val="nil"/>
        <w:left w:val="nil"/>
        <w:bottom w:val="nil"/>
        <w:right w:val="nil"/>
        <w:between w:val="nil"/>
        <w:bar w:val="nil"/>
      </w:pBdr>
      <w:spacing w:after="200" w:line="240" w:lineRule="auto"/>
    </w:pPr>
    <w:rPr>
      <w:rFonts w:ascii="Helvetica" w:eastAsia="Arial Unicode MS" w:hAnsi="Helvetica" w:cs="Arial Unicode MS"/>
      <w:color w:val="000000"/>
      <w:u w:color="000000"/>
      <w:bdr w:val="nil"/>
      <w:lang w:val="en-US" w:eastAsia="en-GB"/>
    </w:rPr>
  </w:style>
  <w:style w:type="numbering" w:customStyle="1" w:styleId="ImportedStyle9">
    <w:name w:val="Imported Style 9"/>
    <w:rsid w:val="00493D7A"/>
    <w:pPr>
      <w:numPr>
        <w:numId w:val="13"/>
      </w:numPr>
    </w:pPr>
  </w:style>
  <w:style w:type="numbering" w:customStyle="1" w:styleId="ImportedStyle2">
    <w:name w:val="Imported Style 2"/>
    <w:rsid w:val="00493D7A"/>
    <w:pPr>
      <w:numPr>
        <w:numId w:val="15"/>
      </w:numPr>
    </w:pPr>
  </w:style>
  <w:style w:type="numbering" w:customStyle="1" w:styleId="ImportedStyle16">
    <w:name w:val="Imported Style 16"/>
    <w:rsid w:val="00493D7A"/>
    <w:pPr>
      <w:numPr>
        <w:numId w:val="18"/>
      </w:numPr>
    </w:pPr>
  </w:style>
  <w:style w:type="numbering" w:customStyle="1" w:styleId="ImportedStyle23">
    <w:name w:val="Imported Style 23"/>
    <w:rsid w:val="00493D7A"/>
    <w:pPr>
      <w:numPr>
        <w:numId w:val="21"/>
      </w:numPr>
    </w:pPr>
  </w:style>
  <w:style w:type="numbering" w:customStyle="1" w:styleId="ImportedStyle3">
    <w:name w:val="Imported Style 3"/>
    <w:rsid w:val="00493D7A"/>
    <w:pPr>
      <w:numPr>
        <w:numId w:val="23"/>
      </w:numPr>
    </w:pPr>
  </w:style>
  <w:style w:type="numbering" w:customStyle="1" w:styleId="ImportedStyle29">
    <w:name w:val="Imported Style 29"/>
    <w:rsid w:val="00493D7A"/>
    <w:pPr>
      <w:numPr>
        <w:numId w:val="26"/>
      </w:numPr>
    </w:pPr>
  </w:style>
  <w:style w:type="numbering" w:customStyle="1" w:styleId="ImportedStyle35">
    <w:name w:val="Imported Style 35"/>
    <w:rsid w:val="00493D7A"/>
    <w:pPr>
      <w:numPr>
        <w:numId w:val="29"/>
      </w:numPr>
    </w:pPr>
  </w:style>
  <w:style w:type="numbering" w:customStyle="1" w:styleId="ImportedStyle36">
    <w:name w:val="Imported Style 36"/>
    <w:rsid w:val="00493D7A"/>
    <w:pPr>
      <w:numPr>
        <w:numId w:val="31"/>
      </w:numPr>
    </w:pPr>
  </w:style>
  <w:style w:type="numbering" w:customStyle="1" w:styleId="ImportedStyle37">
    <w:name w:val="Imported Style 37"/>
    <w:rsid w:val="00493D7A"/>
    <w:pPr>
      <w:numPr>
        <w:numId w:val="33"/>
      </w:numPr>
    </w:pPr>
  </w:style>
  <w:style w:type="numbering" w:customStyle="1" w:styleId="ImportedStyle45">
    <w:name w:val="Imported Style 45"/>
    <w:rsid w:val="00493D7A"/>
    <w:pPr>
      <w:numPr>
        <w:numId w:val="36"/>
      </w:numPr>
    </w:pPr>
  </w:style>
  <w:style w:type="numbering" w:customStyle="1" w:styleId="ImportedStyle4">
    <w:name w:val="Imported Style 4"/>
    <w:rsid w:val="00493D7A"/>
    <w:pPr>
      <w:numPr>
        <w:numId w:val="38"/>
      </w:numPr>
    </w:pPr>
  </w:style>
  <w:style w:type="paragraph" w:customStyle="1" w:styleId="BodyC">
    <w:name w:val="Body C"/>
    <w:rsid w:val="00493D7A"/>
    <w:pPr>
      <w:pBdr>
        <w:top w:val="nil"/>
        <w:left w:val="nil"/>
        <w:bottom w:val="nil"/>
        <w:right w:val="nil"/>
        <w:between w:val="nil"/>
        <w:bar w:val="nil"/>
      </w:pBdr>
      <w:spacing w:after="200" w:line="240" w:lineRule="auto"/>
    </w:pPr>
    <w:rPr>
      <w:rFonts w:ascii="Times New Roman" w:eastAsia="Arial Unicode MS" w:hAnsi="Times New Roman" w:cs="Arial Unicode MS"/>
      <w:color w:val="000000"/>
      <w:sz w:val="24"/>
      <w:szCs w:val="24"/>
      <w:u w:color="000000"/>
      <w:bdr w:val="nil"/>
      <w:lang w:val="en-US" w:eastAsia="en-GB"/>
    </w:rPr>
  </w:style>
  <w:style w:type="numbering" w:customStyle="1" w:styleId="ImportedStyle100">
    <w:name w:val="Imported Style 1.0.0"/>
    <w:rsid w:val="00493D7A"/>
    <w:pPr>
      <w:numPr>
        <w:numId w:val="40"/>
      </w:numPr>
    </w:pPr>
  </w:style>
  <w:style w:type="numbering" w:customStyle="1" w:styleId="ImportedStyle20">
    <w:name w:val="Imported Style 2.0"/>
    <w:rsid w:val="00493D7A"/>
    <w:pPr>
      <w:numPr>
        <w:numId w:val="42"/>
      </w:numPr>
    </w:pPr>
  </w:style>
  <w:style w:type="numbering" w:customStyle="1" w:styleId="ImportedStyle561">
    <w:name w:val="Imported Style 561"/>
    <w:rsid w:val="00493D7A"/>
    <w:pPr>
      <w:numPr>
        <w:numId w:val="46"/>
      </w:numPr>
    </w:pPr>
  </w:style>
  <w:style w:type="numbering" w:customStyle="1" w:styleId="ImportedStyle571">
    <w:name w:val="Imported Style 571"/>
    <w:rsid w:val="00493D7A"/>
    <w:pPr>
      <w:numPr>
        <w:numId w:val="48"/>
      </w:numPr>
    </w:pPr>
  </w:style>
  <w:style w:type="numbering" w:customStyle="1" w:styleId="ImportedStyle601">
    <w:name w:val="Imported Style 601"/>
    <w:rsid w:val="00493D7A"/>
    <w:pPr>
      <w:numPr>
        <w:numId w:val="50"/>
      </w:numPr>
    </w:pPr>
  </w:style>
  <w:style w:type="numbering" w:customStyle="1" w:styleId="Bullets">
    <w:name w:val="Bullets"/>
    <w:rsid w:val="00493D7A"/>
    <w:pPr>
      <w:numPr>
        <w:numId w:val="53"/>
      </w:numPr>
    </w:pPr>
  </w:style>
  <w:style w:type="numbering" w:customStyle="1" w:styleId="Numbered">
    <w:name w:val="Numbered"/>
    <w:rsid w:val="00493D7A"/>
    <w:pPr>
      <w:numPr>
        <w:numId w:val="57"/>
      </w:numPr>
    </w:pPr>
  </w:style>
  <w:style w:type="numbering" w:customStyle="1" w:styleId="ImportedStyle40">
    <w:name w:val="Imported Style 4.0"/>
    <w:rsid w:val="00493D7A"/>
    <w:pPr>
      <w:numPr>
        <w:numId w:val="60"/>
      </w:numPr>
    </w:pPr>
  </w:style>
  <w:style w:type="numbering" w:customStyle="1" w:styleId="ImportedStyle10">
    <w:name w:val="Imported Style 1.0"/>
    <w:rsid w:val="00493D7A"/>
    <w:pPr>
      <w:numPr>
        <w:numId w:val="62"/>
      </w:numPr>
    </w:pPr>
  </w:style>
  <w:style w:type="character" w:customStyle="1" w:styleId="Heading1Char">
    <w:name w:val="Heading 1 Char"/>
    <w:basedOn w:val="DefaultParagraphFont"/>
    <w:link w:val="Heading1"/>
    <w:rsid w:val="00FB5722"/>
    <w:rPr>
      <w:rFonts w:ascii="Gill Sans MT" w:eastAsia="Times New Roman" w:hAnsi="Gill Sans MT" w:cs="Arial"/>
      <w:bCs/>
      <w:caps/>
      <w:color w:val="002A6C"/>
      <w:sz w:val="52"/>
      <w:szCs w:val="60"/>
      <w:lang w:val="es-ES"/>
    </w:rPr>
  </w:style>
  <w:style w:type="character" w:customStyle="1" w:styleId="Heading3Char">
    <w:name w:val="Heading 3 Char"/>
    <w:basedOn w:val="DefaultParagraphFont"/>
    <w:link w:val="Heading3"/>
    <w:uiPriority w:val="9"/>
    <w:semiHidden/>
    <w:rsid w:val="00FB5722"/>
    <w:rPr>
      <w:rFonts w:ascii="Cambria" w:eastAsia="Times New Roman" w:hAnsi="Cambria" w:cs="Times New Roman"/>
      <w:b/>
      <w:bCs/>
      <w:color w:val="4F81BD"/>
      <w:lang w:val="en-US"/>
    </w:rPr>
  </w:style>
  <w:style w:type="character" w:customStyle="1" w:styleId="ListParagraphChar">
    <w:name w:val="List Paragraph Char"/>
    <w:aliases w:val="Liste de points Char,List Paragraph (numbered (a)) Char,Numbered List Paragraph Char"/>
    <w:link w:val="ListParagraph"/>
    <w:uiPriority w:val="34"/>
    <w:rsid w:val="00FB5722"/>
  </w:style>
  <w:style w:type="paragraph" w:styleId="BalloonText">
    <w:name w:val="Balloon Text"/>
    <w:basedOn w:val="Normal"/>
    <w:link w:val="BalloonTextChar"/>
    <w:uiPriority w:val="99"/>
    <w:semiHidden/>
    <w:unhideWhenUsed/>
    <w:rsid w:val="00FB5722"/>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FB5722"/>
    <w:rPr>
      <w:rFonts w:ascii="Tahoma" w:eastAsia="Calibri" w:hAnsi="Tahoma" w:cs="Tahoma"/>
      <w:sz w:val="16"/>
      <w:szCs w:val="16"/>
      <w:lang w:val="en-US"/>
    </w:rPr>
  </w:style>
  <w:style w:type="character" w:customStyle="1" w:styleId="NoSpacingChar">
    <w:name w:val="No Spacing Char"/>
    <w:link w:val="NoSpacing"/>
    <w:uiPriority w:val="1"/>
    <w:rsid w:val="00FB5722"/>
    <w:rPr>
      <w:rFonts w:ascii="Calibri" w:eastAsia="Calibri" w:hAnsi="Calibri" w:cs="Calibri"/>
      <w:color w:val="000000"/>
      <w:u w:color="000000"/>
      <w:bdr w:val="nil"/>
      <w:lang w:val="en-US" w:eastAsia="en-GB"/>
    </w:rPr>
  </w:style>
  <w:style w:type="character" w:customStyle="1" w:styleId="WW-Saisiedelutilisateur1">
    <w:name w:val="WW-Saisie de l'utilisateur1"/>
    <w:rsid w:val="00FB5722"/>
    <w:rPr>
      <w:rFonts w:ascii="Arial" w:eastAsia="Courier New" w:hAnsi="Arial" w:cs="Courier New"/>
      <w:sz w:val="21"/>
    </w:rPr>
  </w:style>
  <w:style w:type="paragraph" w:styleId="NormalWeb">
    <w:name w:val="Normal (Web)"/>
    <w:basedOn w:val="Normal"/>
    <w:uiPriority w:val="99"/>
    <w:unhideWhenUsed/>
    <w:rsid w:val="00FB572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FB5722"/>
    <w:pPr>
      <w:tabs>
        <w:tab w:val="center" w:pos="4680"/>
        <w:tab w:val="right" w:pos="9360"/>
      </w:tabs>
      <w:spacing w:after="200" w:line="276"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FB5722"/>
    <w:rPr>
      <w:rFonts w:ascii="Calibri" w:eastAsia="Calibri" w:hAnsi="Calibri" w:cs="Times New Roman"/>
      <w:lang w:val="en-US"/>
    </w:rPr>
  </w:style>
  <w:style w:type="paragraph" w:styleId="Footer">
    <w:name w:val="footer"/>
    <w:basedOn w:val="Normal"/>
    <w:link w:val="FooterChar"/>
    <w:uiPriority w:val="99"/>
    <w:unhideWhenUsed/>
    <w:rsid w:val="00FB5722"/>
    <w:pPr>
      <w:tabs>
        <w:tab w:val="center" w:pos="4680"/>
        <w:tab w:val="right" w:pos="9360"/>
      </w:tabs>
      <w:spacing w:after="200" w:line="276"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FB5722"/>
    <w:rPr>
      <w:rFonts w:ascii="Calibri" w:eastAsia="Calibri" w:hAnsi="Calibri" w:cs="Times New Roman"/>
      <w:lang w:val="en-US"/>
    </w:rPr>
  </w:style>
  <w:style w:type="paragraph" w:styleId="Title">
    <w:name w:val="Title"/>
    <w:basedOn w:val="Subtitle"/>
    <w:next w:val="Normal"/>
    <w:link w:val="TitleChar"/>
    <w:uiPriority w:val="10"/>
    <w:qFormat/>
    <w:rsid w:val="00FB5722"/>
    <w:pPr>
      <w:spacing w:before="2100"/>
    </w:pPr>
    <w:rPr>
      <w:sz w:val="48"/>
    </w:rPr>
  </w:style>
  <w:style w:type="character" w:customStyle="1" w:styleId="TitleChar">
    <w:name w:val="Title Char"/>
    <w:basedOn w:val="DefaultParagraphFont"/>
    <w:link w:val="Title"/>
    <w:uiPriority w:val="10"/>
    <w:rsid w:val="00FB5722"/>
    <w:rPr>
      <w:rFonts w:ascii="Gill Sans MT" w:eastAsia="Times New Roman" w:hAnsi="Gill Sans MT" w:cs="Arial"/>
      <w:caps/>
      <w:sz w:val="48"/>
      <w:szCs w:val="36"/>
      <w:lang w:val="en-US"/>
    </w:rPr>
  </w:style>
  <w:style w:type="paragraph" w:styleId="Subtitle">
    <w:name w:val="Subtitle"/>
    <w:basedOn w:val="Normal"/>
    <w:next w:val="Normal"/>
    <w:link w:val="SubtitleChar"/>
    <w:qFormat/>
    <w:rsid w:val="00FB5722"/>
    <w:pPr>
      <w:autoSpaceDE w:val="0"/>
      <w:autoSpaceDN w:val="0"/>
      <w:adjustRightInd w:val="0"/>
      <w:spacing w:before="240" w:after="240" w:line="240" w:lineRule="auto"/>
    </w:pPr>
    <w:rPr>
      <w:rFonts w:ascii="Gill Sans MT" w:eastAsia="Times New Roman" w:hAnsi="Gill Sans MT" w:cs="Arial"/>
      <w:caps/>
      <w:sz w:val="28"/>
      <w:szCs w:val="36"/>
      <w:lang w:val="en-US"/>
    </w:rPr>
  </w:style>
  <w:style w:type="character" w:customStyle="1" w:styleId="SubtitleChar">
    <w:name w:val="Subtitle Char"/>
    <w:basedOn w:val="DefaultParagraphFont"/>
    <w:link w:val="Subtitle"/>
    <w:rsid w:val="00FB5722"/>
    <w:rPr>
      <w:rFonts w:ascii="Gill Sans MT" w:eastAsia="Times New Roman" w:hAnsi="Gill Sans MT" w:cs="Arial"/>
      <w:caps/>
      <w:sz w:val="28"/>
      <w:szCs w:val="36"/>
      <w:lang w:val="en-US"/>
    </w:rPr>
  </w:style>
  <w:style w:type="paragraph" w:styleId="TOC1">
    <w:name w:val="toc 1"/>
    <w:basedOn w:val="Normal"/>
    <w:next w:val="Normal"/>
    <w:autoRedefine/>
    <w:uiPriority w:val="39"/>
    <w:unhideWhenUsed/>
    <w:rsid w:val="00FB5722"/>
    <w:pPr>
      <w:autoSpaceDE w:val="0"/>
      <w:autoSpaceDN w:val="0"/>
      <w:adjustRightInd w:val="0"/>
      <w:spacing w:before="240" w:after="100" w:line="240" w:lineRule="auto"/>
      <w:jc w:val="both"/>
    </w:pPr>
    <w:rPr>
      <w:rFonts w:ascii="Gill Sans MT" w:eastAsia="Times New Roman" w:hAnsi="Gill Sans MT" w:cs="Arial"/>
      <w:bCs/>
      <w:lang w:val="en-US"/>
    </w:rPr>
  </w:style>
  <w:style w:type="character" w:styleId="Hyperlink">
    <w:name w:val="Hyperlink"/>
    <w:uiPriority w:val="99"/>
    <w:unhideWhenUsed/>
    <w:rsid w:val="00FB5722"/>
    <w:rPr>
      <w:color w:val="0000FF"/>
      <w:u w:val="single"/>
    </w:rPr>
  </w:style>
  <w:style w:type="character" w:customStyle="1" w:styleId="Heading2Char1">
    <w:name w:val="Heading 2 Char1"/>
    <w:aliases w:val="Char4 Char Char Char, Char4 Char Char Char"/>
    <w:rsid w:val="00FB5722"/>
    <w:rPr>
      <w:rFonts w:ascii="Arial" w:eastAsia="Times New Roman" w:hAnsi="Arial" w:cs="Times New Roman"/>
      <w:b/>
      <w:bCs/>
      <w:sz w:val="24"/>
      <w:szCs w:val="24"/>
    </w:rPr>
  </w:style>
  <w:style w:type="paragraph" w:customStyle="1" w:styleId="Default">
    <w:name w:val="Default"/>
    <w:rsid w:val="00FB5722"/>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UserEntry">
    <w:name w:val="User Entry"/>
    <w:rsid w:val="00FB5722"/>
    <w:rPr>
      <w:rFonts w:ascii="Arial" w:eastAsia="Courier New" w:hAnsi="Arial" w:cs="Courier New"/>
      <w:sz w:val="21"/>
    </w:rPr>
  </w:style>
  <w:style w:type="paragraph" w:styleId="Caption">
    <w:name w:val="caption"/>
    <w:basedOn w:val="Normal"/>
    <w:next w:val="Normal"/>
    <w:uiPriority w:val="35"/>
    <w:qFormat/>
    <w:rsid w:val="00FB5722"/>
    <w:pPr>
      <w:spacing w:after="120" w:line="240" w:lineRule="auto"/>
      <w:jc w:val="both"/>
    </w:pPr>
    <w:rPr>
      <w:rFonts w:ascii="Times New Roman" w:eastAsia="MS Mincho" w:hAnsi="Times New Roman" w:cs="Times New Roman"/>
      <w:bCs/>
      <w:i/>
      <w:sz w:val="20"/>
      <w:szCs w:val="20"/>
      <w:lang w:val="fr-FR"/>
    </w:rPr>
  </w:style>
  <w:style w:type="paragraph" w:customStyle="1" w:styleId="WW-Corpsdetexte2">
    <w:name w:val="WW-Corps de texte 2"/>
    <w:basedOn w:val="Normal"/>
    <w:rsid w:val="00FB5722"/>
    <w:pPr>
      <w:widowControl w:val="0"/>
      <w:suppressAutoHyphens/>
      <w:spacing w:before="227" w:after="227" w:line="100" w:lineRule="atLeast"/>
      <w:jc w:val="both"/>
    </w:pPr>
    <w:rPr>
      <w:rFonts w:ascii="Univers" w:eastAsia="Arial Unicode MS" w:hAnsi="Univers" w:cs="Times New Roman"/>
      <w:szCs w:val="24"/>
      <w:lang w:val="fr-FR" w:eastAsia="fr-FR"/>
    </w:rPr>
  </w:style>
  <w:style w:type="character" w:customStyle="1" w:styleId="CommentTextChar">
    <w:name w:val="Comment Text Char"/>
    <w:link w:val="CommentText"/>
    <w:uiPriority w:val="99"/>
    <w:semiHidden/>
    <w:rsid w:val="00FB5722"/>
    <w:rPr>
      <w:rFonts w:ascii="Times New Roman" w:eastAsia="Times New Roman" w:hAnsi="Times New Roman"/>
    </w:rPr>
  </w:style>
  <w:style w:type="paragraph" w:styleId="CommentText">
    <w:name w:val="annotation text"/>
    <w:basedOn w:val="Normal"/>
    <w:link w:val="CommentTextChar"/>
    <w:uiPriority w:val="99"/>
    <w:semiHidden/>
    <w:unhideWhenUsed/>
    <w:rsid w:val="00FB5722"/>
    <w:pPr>
      <w:spacing w:after="0" w:line="240" w:lineRule="auto"/>
    </w:pPr>
    <w:rPr>
      <w:rFonts w:ascii="Times New Roman" w:eastAsia="Times New Roman" w:hAnsi="Times New Roman"/>
    </w:rPr>
  </w:style>
  <w:style w:type="character" w:customStyle="1" w:styleId="CommentTextChar1">
    <w:name w:val="Comment Text Char1"/>
    <w:basedOn w:val="DefaultParagraphFont"/>
    <w:uiPriority w:val="99"/>
    <w:semiHidden/>
    <w:rsid w:val="00FB5722"/>
    <w:rPr>
      <w:sz w:val="20"/>
      <w:szCs w:val="20"/>
    </w:rPr>
  </w:style>
  <w:style w:type="character" w:customStyle="1" w:styleId="FootnoteTextChar">
    <w:name w:val="Footnote Text Char"/>
    <w:link w:val="FootnoteText"/>
    <w:uiPriority w:val="99"/>
    <w:semiHidden/>
    <w:rsid w:val="00FB5722"/>
  </w:style>
  <w:style w:type="paragraph" w:styleId="FootnoteText">
    <w:name w:val="footnote text"/>
    <w:basedOn w:val="Normal"/>
    <w:link w:val="FootnoteTextChar"/>
    <w:uiPriority w:val="99"/>
    <w:semiHidden/>
    <w:unhideWhenUsed/>
    <w:rsid w:val="00FB5722"/>
    <w:pPr>
      <w:spacing w:after="0" w:line="240" w:lineRule="auto"/>
    </w:pPr>
  </w:style>
  <w:style w:type="character" w:customStyle="1" w:styleId="FootnoteTextChar1">
    <w:name w:val="Footnote Text Char1"/>
    <w:basedOn w:val="DefaultParagraphFont"/>
    <w:uiPriority w:val="99"/>
    <w:semiHidden/>
    <w:rsid w:val="00FB5722"/>
    <w:rPr>
      <w:sz w:val="20"/>
      <w:szCs w:val="20"/>
    </w:rPr>
  </w:style>
  <w:style w:type="character" w:customStyle="1" w:styleId="intexthighlight">
    <w:name w:val="intexthighlight"/>
    <w:rsid w:val="00FB5722"/>
  </w:style>
  <w:style w:type="paragraph" w:styleId="BodyText">
    <w:name w:val="Body Text"/>
    <w:basedOn w:val="Normal"/>
    <w:link w:val="BodyTextChar"/>
    <w:rsid w:val="00FB5722"/>
    <w:pPr>
      <w:spacing w:after="0" w:line="240" w:lineRule="auto"/>
      <w:jc w:val="both"/>
    </w:pPr>
    <w:rPr>
      <w:rFonts w:ascii="Garamond" w:eastAsia="Times New Roman" w:hAnsi="Garamond" w:cs="Times New Roman"/>
      <w:sz w:val="24"/>
      <w:szCs w:val="24"/>
    </w:rPr>
  </w:style>
  <w:style w:type="character" w:customStyle="1" w:styleId="BodyTextChar">
    <w:name w:val="Body Text Char"/>
    <w:basedOn w:val="DefaultParagraphFont"/>
    <w:link w:val="BodyText"/>
    <w:rsid w:val="00FB5722"/>
    <w:rPr>
      <w:rFonts w:ascii="Garamond" w:eastAsia="Times New Roman" w:hAnsi="Garamond" w:cs="Times New Roman"/>
      <w:sz w:val="24"/>
      <w:szCs w:val="24"/>
    </w:rPr>
  </w:style>
  <w:style w:type="paragraph" w:customStyle="1" w:styleId="Pa11">
    <w:name w:val="Pa11"/>
    <w:basedOn w:val="Normal"/>
    <w:next w:val="Normal"/>
    <w:uiPriority w:val="99"/>
    <w:rsid w:val="00FB5722"/>
    <w:pPr>
      <w:widowControl w:val="0"/>
      <w:autoSpaceDE w:val="0"/>
      <w:autoSpaceDN w:val="0"/>
      <w:adjustRightInd w:val="0"/>
      <w:spacing w:after="0" w:line="181" w:lineRule="atLeast"/>
    </w:pPr>
    <w:rPr>
      <w:rFonts w:ascii="Calvert MT Std" w:eastAsia="Times New Roman" w:hAnsi="Calvert MT Std" w:cs="Times New Roman"/>
      <w:sz w:val="24"/>
      <w:szCs w:val="24"/>
      <w:lang w:val="en-US"/>
    </w:rPr>
  </w:style>
  <w:style w:type="paragraph" w:customStyle="1" w:styleId="Pa31">
    <w:name w:val="Pa31"/>
    <w:basedOn w:val="Normal"/>
    <w:next w:val="Normal"/>
    <w:uiPriority w:val="99"/>
    <w:rsid w:val="00FB5722"/>
    <w:pPr>
      <w:widowControl w:val="0"/>
      <w:autoSpaceDE w:val="0"/>
      <w:autoSpaceDN w:val="0"/>
      <w:adjustRightInd w:val="0"/>
      <w:spacing w:after="0" w:line="221" w:lineRule="atLeast"/>
    </w:pPr>
    <w:rPr>
      <w:rFonts w:ascii="Calvert MT Std" w:eastAsia="Times New Roman" w:hAnsi="Calvert MT Std" w:cs="Times New Roman"/>
      <w:sz w:val="24"/>
      <w:szCs w:val="24"/>
      <w:lang w:val="en-US"/>
    </w:rPr>
  </w:style>
  <w:style w:type="character" w:customStyle="1" w:styleId="apple-converted-space">
    <w:name w:val="apple-converted-space"/>
    <w:rsid w:val="00FB5722"/>
  </w:style>
  <w:style w:type="character" w:customStyle="1" w:styleId="CommentSubjectChar">
    <w:name w:val="Comment Subject Char"/>
    <w:link w:val="CommentSubject"/>
    <w:uiPriority w:val="99"/>
    <w:semiHidden/>
    <w:rsid w:val="00FB5722"/>
    <w:rPr>
      <w:rFonts w:ascii="Times New Roman" w:eastAsia="Times New Roman" w:hAnsi="Times New Roman"/>
      <w:b/>
      <w:bCs/>
    </w:rPr>
  </w:style>
  <w:style w:type="paragraph" w:styleId="CommentSubject">
    <w:name w:val="annotation subject"/>
    <w:basedOn w:val="CommentText"/>
    <w:next w:val="CommentText"/>
    <w:link w:val="CommentSubjectChar"/>
    <w:uiPriority w:val="99"/>
    <w:semiHidden/>
    <w:unhideWhenUsed/>
    <w:rsid w:val="00FB5722"/>
    <w:pPr>
      <w:spacing w:after="160"/>
    </w:pPr>
    <w:rPr>
      <w:b/>
      <w:bCs/>
    </w:rPr>
  </w:style>
  <w:style w:type="character" w:customStyle="1" w:styleId="CommentSubjectChar1">
    <w:name w:val="Comment Subject Char1"/>
    <w:basedOn w:val="CommentTextChar1"/>
    <w:uiPriority w:val="99"/>
    <w:semiHidden/>
    <w:rsid w:val="00FB5722"/>
    <w:rPr>
      <w:b/>
      <w:bCs/>
      <w:sz w:val="20"/>
      <w:szCs w:val="20"/>
    </w:rPr>
  </w:style>
  <w:style w:type="character" w:styleId="Strong">
    <w:name w:val="Strong"/>
    <w:uiPriority w:val="22"/>
    <w:qFormat/>
    <w:rsid w:val="00FB5722"/>
    <w:rPr>
      <w:b/>
      <w:bCs/>
    </w:rPr>
  </w:style>
  <w:style w:type="character" w:customStyle="1" w:styleId="style9">
    <w:name w:val="style9"/>
    <w:rsid w:val="00FB5722"/>
  </w:style>
  <w:style w:type="character" w:customStyle="1" w:styleId="style13">
    <w:name w:val="style13"/>
    <w:rsid w:val="00FB5722"/>
  </w:style>
  <w:style w:type="character" w:styleId="Emphasis">
    <w:name w:val="Emphasis"/>
    <w:uiPriority w:val="20"/>
    <w:qFormat/>
    <w:rsid w:val="00FB5722"/>
    <w:rPr>
      <w:i/>
      <w:iCs/>
    </w:rPr>
  </w:style>
  <w:style w:type="paragraph" w:customStyle="1" w:styleId="BulletedlistSaana">
    <w:name w:val="Bulleted list Saana"/>
    <w:basedOn w:val="ListParagraph"/>
    <w:next w:val="Normal"/>
    <w:qFormat/>
    <w:rsid w:val="00FB5722"/>
    <w:pPr>
      <w:numPr>
        <w:numId w:val="71"/>
      </w:numPr>
      <w:spacing w:before="120" w:after="120" w:line="240" w:lineRule="auto"/>
      <w:contextualSpacing w:val="0"/>
    </w:pPr>
    <w:rPr>
      <w:rFonts w:ascii="Arial" w:eastAsia="Times New Roman" w:hAnsi="Arial" w:cs="Times New Roman"/>
      <w:lang w:eastAsia="ja-JP"/>
    </w:rPr>
  </w:style>
  <w:style w:type="paragraph" w:customStyle="1" w:styleId="NormalSaana">
    <w:name w:val="NormalSaana"/>
    <w:basedOn w:val="Normal"/>
    <w:qFormat/>
    <w:rsid w:val="00FB5722"/>
    <w:pPr>
      <w:spacing w:before="120" w:after="120" w:line="240" w:lineRule="auto"/>
      <w:jc w:val="both"/>
    </w:pPr>
    <w:rPr>
      <w:rFonts w:ascii="Arial" w:eastAsia="Times New Roman" w:hAnsi="Arial" w:cs="Times New Roman"/>
      <w:szCs w:val="24"/>
      <w:lang w:eastAsia="ja-JP"/>
    </w:rPr>
  </w:style>
  <w:style w:type="character" w:styleId="FootnoteReference">
    <w:name w:val="footnote reference"/>
    <w:uiPriority w:val="99"/>
    <w:semiHidden/>
    <w:unhideWhenUsed/>
    <w:rsid w:val="00FB5722"/>
    <w:rPr>
      <w:vertAlign w:val="superscript"/>
    </w:rPr>
  </w:style>
  <w:style w:type="table" w:customStyle="1" w:styleId="LightGrid-Accent11">
    <w:name w:val="Light Grid - Accent 11"/>
    <w:basedOn w:val="TableNormal"/>
    <w:uiPriority w:val="62"/>
    <w:rsid w:val="00FB5722"/>
    <w:pPr>
      <w:spacing w:after="0" w:line="240" w:lineRule="auto"/>
    </w:pPr>
    <w:rPr>
      <w:rFonts w:ascii="Calibri" w:eastAsia="Times New Roman" w:hAnsi="Calibri"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TMLCite">
    <w:name w:val="HTML Cite"/>
    <w:uiPriority w:val="99"/>
    <w:semiHidden/>
    <w:unhideWhenUsed/>
    <w:rsid w:val="00FB5722"/>
    <w:rPr>
      <w:i/>
      <w:iCs/>
    </w:rPr>
  </w:style>
  <w:style w:type="character" w:customStyle="1" w:styleId="st">
    <w:name w:val="st"/>
    <w:rsid w:val="00FB5722"/>
  </w:style>
  <w:style w:type="paragraph" w:styleId="TOC3">
    <w:name w:val="toc 3"/>
    <w:basedOn w:val="Normal"/>
    <w:next w:val="Normal"/>
    <w:autoRedefine/>
    <w:uiPriority w:val="39"/>
    <w:unhideWhenUsed/>
    <w:rsid w:val="008535DE"/>
    <w:pPr>
      <w:spacing w:after="100"/>
      <w:ind w:left="440"/>
    </w:pPr>
  </w:style>
  <w:style w:type="paragraph" w:styleId="TOCHeading">
    <w:name w:val="TOC Heading"/>
    <w:basedOn w:val="Heading1"/>
    <w:next w:val="Normal"/>
    <w:uiPriority w:val="39"/>
    <w:unhideWhenUsed/>
    <w:qFormat/>
    <w:rsid w:val="008535DE"/>
    <w:pPr>
      <w:keepLines/>
      <w:autoSpaceDE/>
      <w:autoSpaceDN/>
      <w:adjustRightInd/>
      <w:spacing w:before="240" w:after="0" w:line="259" w:lineRule="auto"/>
      <w:outlineLvl w:val="9"/>
    </w:pPr>
    <w:rPr>
      <w:rFonts w:asciiTheme="majorHAnsi" w:eastAsiaTheme="majorEastAsia" w:hAnsiTheme="majorHAnsi" w:cstheme="majorBidi"/>
      <w:bCs w:val="0"/>
      <w:caps w:val="0"/>
      <w:color w:val="2F5496" w:themeColor="accent1" w:themeShade="BF"/>
      <w:sz w:val="32"/>
      <w:szCs w:val="32"/>
      <w:lang w:val="en-US"/>
    </w:rPr>
  </w:style>
  <w:style w:type="paragraph" w:styleId="TOC2">
    <w:name w:val="toc 2"/>
    <w:basedOn w:val="Normal"/>
    <w:next w:val="Normal"/>
    <w:autoRedefine/>
    <w:uiPriority w:val="39"/>
    <w:unhideWhenUsed/>
    <w:rsid w:val="008535DE"/>
    <w:pPr>
      <w:spacing w:after="100"/>
      <w:ind w:left="220"/>
    </w:pPr>
    <w:rPr>
      <w:rFonts w:eastAsiaTheme="minorEastAsia"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548"/>
  </w:style>
  <w:style w:type="paragraph" w:styleId="Heading1">
    <w:name w:val="heading 1"/>
    <w:basedOn w:val="Normal"/>
    <w:next w:val="Normal"/>
    <w:link w:val="Heading1Char"/>
    <w:qFormat/>
    <w:rsid w:val="00FB5722"/>
    <w:pPr>
      <w:keepNext/>
      <w:autoSpaceDE w:val="0"/>
      <w:autoSpaceDN w:val="0"/>
      <w:adjustRightInd w:val="0"/>
      <w:spacing w:after="240" w:line="240" w:lineRule="auto"/>
      <w:outlineLvl w:val="0"/>
    </w:pPr>
    <w:rPr>
      <w:rFonts w:ascii="Gill Sans MT" w:eastAsia="Times New Roman" w:hAnsi="Gill Sans MT" w:cs="Arial"/>
      <w:bCs/>
      <w:caps/>
      <w:color w:val="002A6C"/>
      <w:sz w:val="52"/>
      <w:szCs w:val="60"/>
      <w:lang w:val="es-ES"/>
    </w:rPr>
  </w:style>
  <w:style w:type="paragraph" w:styleId="Heading2">
    <w:name w:val="heading 2"/>
    <w:aliases w:val="Char4 Char Char, Char4 Char Char"/>
    <w:link w:val="Heading2Char"/>
    <w:qFormat/>
    <w:rsid w:val="00493D7A"/>
    <w:pPr>
      <w:keepNext/>
      <w:pBdr>
        <w:top w:val="nil"/>
        <w:left w:val="nil"/>
        <w:bottom w:val="nil"/>
        <w:right w:val="nil"/>
        <w:between w:val="nil"/>
        <w:bar w:val="nil"/>
      </w:pBdr>
      <w:spacing w:after="200" w:line="240" w:lineRule="auto"/>
      <w:outlineLvl w:val="1"/>
    </w:pPr>
    <w:rPr>
      <w:rFonts w:ascii="Helvetica" w:eastAsia="Arial Unicode MS" w:hAnsi="Helvetica" w:cs="Arial Unicode MS"/>
      <w:b/>
      <w:bCs/>
      <w:color w:val="000000"/>
      <w:sz w:val="32"/>
      <w:szCs w:val="32"/>
      <w:u w:color="000000"/>
      <w:bdr w:val="nil"/>
      <w:lang w:val="en-US" w:eastAsia="en-GB"/>
    </w:rPr>
  </w:style>
  <w:style w:type="paragraph" w:styleId="Heading3">
    <w:name w:val="heading 3"/>
    <w:basedOn w:val="Normal"/>
    <w:next w:val="Normal"/>
    <w:link w:val="Heading3Char"/>
    <w:uiPriority w:val="9"/>
    <w:semiHidden/>
    <w:unhideWhenUsed/>
    <w:qFormat/>
    <w:rsid w:val="00FB5722"/>
    <w:pPr>
      <w:keepNext/>
      <w:keepLines/>
      <w:spacing w:before="200" w:after="0" w:line="276" w:lineRule="auto"/>
      <w:outlineLvl w:val="2"/>
    </w:pPr>
    <w:rPr>
      <w:rFonts w:ascii="Cambria" w:eastAsia="Times New Roman" w:hAnsi="Cambria" w:cs="Times New Roman"/>
      <w:b/>
      <w:bCs/>
      <w:color w:val="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e de points,List Paragraph (numbered (a)),Numbered List Paragraph"/>
    <w:basedOn w:val="Normal"/>
    <w:link w:val="ListParagraphChar"/>
    <w:uiPriority w:val="34"/>
    <w:qFormat/>
    <w:rsid w:val="00493D7A"/>
    <w:pPr>
      <w:ind w:left="720"/>
      <w:contextualSpacing/>
    </w:pPr>
  </w:style>
  <w:style w:type="table" w:styleId="TableGrid">
    <w:name w:val="Table Grid"/>
    <w:basedOn w:val="TableNormal"/>
    <w:uiPriority w:val="59"/>
    <w:rsid w:val="00493D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Char4 Char Char Char1, Char4 Char Char Char1"/>
    <w:basedOn w:val="DefaultParagraphFont"/>
    <w:link w:val="Heading2"/>
    <w:uiPriority w:val="9"/>
    <w:rsid w:val="00493D7A"/>
    <w:rPr>
      <w:rFonts w:ascii="Helvetica" w:eastAsia="Arial Unicode MS" w:hAnsi="Helvetica" w:cs="Arial Unicode MS"/>
      <w:b/>
      <w:bCs/>
      <w:color w:val="000000"/>
      <w:sz w:val="32"/>
      <w:szCs w:val="32"/>
      <w:u w:color="000000"/>
      <w:bdr w:val="nil"/>
      <w:lang w:val="en-US" w:eastAsia="en-GB"/>
    </w:rPr>
  </w:style>
  <w:style w:type="paragraph" w:customStyle="1" w:styleId="Body">
    <w:name w:val="Body"/>
    <w:rsid w:val="00493D7A"/>
    <w:pPr>
      <w:pBdr>
        <w:top w:val="nil"/>
        <w:left w:val="nil"/>
        <w:bottom w:val="nil"/>
        <w:right w:val="nil"/>
        <w:between w:val="nil"/>
        <w:bar w:val="nil"/>
      </w:pBdr>
      <w:spacing w:after="200" w:line="276" w:lineRule="auto"/>
    </w:pPr>
    <w:rPr>
      <w:rFonts w:ascii="Calibri" w:eastAsia="Calibri" w:hAnsi="Calibri" w:cs="Calibri"/>
      <w:color w:val="000000"/>
      <w:u w:color="000000"/>
      <w:bdr w:val="nil"/>
      <w:lang w:val="de-DE" w:eastAsia="en-GB"/>
    </w:rPr>
  </w:style>
  <w:style w:type="paragraph" w:styleId="NoSpacing">
    <w:name w:val="No Spacing"/>
    <w:link w:val="NoSpacingChar"/>
    <w:uiPriority w:val="1"/>
    <w:qFormat/>
    <w:rsid w:val="00493D7A"/>
    <w:pPr>
      <w:pBdr>
        <w:top w:val="nil"/>
        <w:left w:val="nil"/>
        <w:bottom w:val="nil"/>
        <w:right w:val="nil"/>
        <w:between w:val="nil"/>
        <w:bar w:val="nil"/>
      </w:pBdr>
      <w:spacing w:after="200" w:line="240" w:lineRule="auto"/>
    </w:pPr>
    <w:rPr>
      <w:rFonts w:ascii="Calibri" w:eastAsia="Calibri" w:hAnsi="Calibri" w:cs="Calibri"/>
      <w:color w:val="000000"/>
      <w:u w:color="000000"/>
      <w:bdr w:val="nil"/>
      <w:lang w:val="en-US" w:eastAsia="en-GB"/>
    </w:rPr>
  </w:style>
  <w:style w:type="paragraph" w:customStyle="1" w:styleId="Heading">
    <w:name w:val="Heading"/>
    <w:rsid w:val="00493D7A"/>
    <w:pPr>
      <w:keepNext/>
      <w:pBdr>
        <w:top w:val="nil"/>
        <w:left w:val="nil"/>
        <w:bottom w:val="nil"/>
        <w:right w:val="nil"/>
        <w:between w:val="nil"/>
        <w:bar w:val="nil"/>
      </w:pBdr>
      <w:spacing w:after="200" w:line="240" w:lineRule="auto"/>
      <w:outlineLvl w:val="0"/>
    </w:pPr>
    <w:rPr>
      <w:rFonts w:ascii="Helvetica" w:eastAsia="Arial Unicode MS" w:hAnsi="Helvetica" w:cs="Arial Unicode MS"/>
      <w:b/>
      <w:bCs/>
      <w:color w:val="000000"/>
      <w:sz w:val="36"/>
      <w:szCs w:val="36"/>
      <w:u w:color="000000"/>
      <w:bdr w:val="nil"/>
      <w:lang w:val="en-US" w:eastAsia="en-GB"/>
    </w:rPr>
  </w:style>
  <w:style w:type="paragraph" w:customStyle="1" w:styleId="BodyA">
    <w:name w:val="Body A"/>
    <w:rsid w:val="00493D7A"/>
    <w:pPr>
      <w:pBdr>
        <w:top w:val="nil"/>
        <w:left w:val="nil"/>
        <w:bottom w:val="nil"/>
        <w:right w:val="nil"/>
        <w:between w:val="nil"/>
        <w:bar w:val="nil"/>
      </w:pBdr>
      <w:spacing w:after="200" w:line="240" w:lineRule="auto"/>
    </w:pPr>
    <w:rPr>
      <w:rFonts w:ascii="Helvetica" w:eastAsia="Arial Unicode MS" w:hAnsi="Helvetica" w:cs="Arial Unicode MS"/>
      <w:color w:val="000000"/>
      <w:u w:color="000000"/>
      <w:bdr w:val="nil"/>
      <w:lang w:val="en-US" w:eastAsia="en-GB"/>
    </w:rPr>
  </w:style>
  <w:style w:type="numbering" w:customStyle="1" w:styleId="ImportedStyle1">
    <w:name w:val="Imported Style 1"/>
    <w:rsid w:val="00493D7A"/>
    <w:pPr>
      <w:numPr>
        <w:numId w:val="11"/>
      </w:numPr>
    </w:pPr>
  </w:style>
  <w:style w:type="paragraph" w:customStyle="1" w:styleId="BodyB">
    <w:name w:val="Body B"/>
    <w:rsid w:val="00493D7A"/>
    <w:pPr>
      <w:pBdr>
        <w:top w:val="nil"/>
        <w:left w:val="nil"/>
        <w:bottom w:val="nil"/>
        <w:right w:val="nil"/>
        <w:between w:val="nil"/>
        <w:bar w:val="nil"/>
      </w:pBdr>
      <w:spacing w:after="200" w:line="240" w:lineRule="auto"/>
    </w:pPr>
    <w:rPr>
      <w:rFonts w:ascii="Times New Roman" w:eastAsia="Times New Roman" w:hAnsi="Times New Roman" w:cs="Times New Roman"/>
      <w:color w:val="000000"/>
      <w:sz w:val="24"/>
      <w:szCs w:val="24"/>
      <w:u w:color="000000"/>
      <w:bdr w:val="nil"/>
      <w:lang w:val="en-US" w:eastAsia="en-GB"/>
    </w:rPr>
  </w:style>
  <w:style w:type="paragraph" w:customStyle="1" w:styleId="BodyBA">
    <w:name w:val="Body B A"/>
    <w:rsid w:val="00493D7A"/>
    <w:pPr>
      <w:pBdr>
        <w:top w:val="nil"/>
        <w:left w:val="nil"/>
        <w:bottom w:val="nil"/>
        <w:right w:val="nil"/>
        <w:between w:val="nil"/>
        <w:bar w:val="nil"/>
      </w:pBdr>
      <w:spacing w:after="200" w:line="240" w:lineRule="auto"/>
    </w:pPr>
    <w:rPr>
      <w:rFonts w:ascii="Helvetica" w:eastAsia="Arial Unicode MS" w:hAnsi="Helvetica" w:cs="Arial Unicode MS"/>
      <w:color w:val="000000"/>
      <w:u w:color="000000"/>
      <w:bdr w:val="nil"/>
      <w:lang w:val="en-US" w:eastAsia="en-GB"/>
    </w:rPr>
  </w:style>
  <w:style w:type="numbering" w:customStyle="1" w:styleId="ImportedStyle9">
    <w:name w:val="Imported Style 9"/>
    <w:rsid w:val="00493D7A"/>
    <w:pPr>
      <w:numPr>
        <w:numId w:val="13"/>
      </w:numPr>
    </w:pPr>
  </w:style>
  <w:style w:type="numbering" w:customStyle="1" w:styleId="ImportedStyle2">
    <w:name w:val="Imported Style 2"/>
    <w:rsid w:val="00493D7A"/>
    <w:pPr>
      <w:numPr>
        <w:numId w:val="15"/>
      </w:numPr>
    </w:pPr>
  </w:style>
  <w:style w:type="numbering" w:customStyle="1" w:styleId="ImportedStyle16">
    <w:name w:val="Imported Style 16"/>
    <w:rsid w:val="00493D7A"/>
    <w:pPr>
      <w:numPr>
        <w:numId w:val="18"/>
      </w:numPr>
    </w:pPr>
  </w:style>
  <w:style w:type="numbering" w:customStyle="1" w:styleId="ImportedStyle23">
    <w:name w:val="Imported Style 23"/>
    <w:rsid w:val="00493D7A"/>
    <w:pPr>
      <w:numPr>
        <w:numId w:val="21"/>
      </w:numPr>
    </w:pPr>
  </w:style>
  <w:style w:type="numbering" w:customStyle="1" w:styleId="ImportedStyle3">
    <w:name w:val="Imported Style 3"/>
    <w:rsid w:val="00493D7A"/>
    <w:pPr>
      <w:numPr>
        <w:numId w:val="23"/>
      </w:numPr>
    </w:pPr>
  </w:style>
  <w:style w:type="numbering" w:customStyle="1" w:styleId="ImportedStyle29">
    <w:name w:val="Imported Style 29"/>
    <w:rsid w:val="00493D7A"/>
    <w:pPr>
      <w:numPr>
        <w:numId w:val="26"/>
      </w:numPr>
    </w:pPr>
  </w:style>
  <w:style w:type="numbering" w:customStyle="1" w:styleId="ImportedStyle35">
    <w:name w:val="Imported Style 35"/>
    <w:rsid w:val="00493D7A"/>
    <w:pPr>
      <w:numPr>
        <w:numId w:val="29"/>
      </w:numPr>
    </w:pPr>
  </w:style>
  <w:style w:type="numbering" w:customStyle="1" w:styleId="ImportedStyle36">
    <w:name w:val="Imported Style 36"/>
    <w:rsid w:val="00493D7A"/>
    <w:pPr>
      <w:numPr>
        <w:numId w:val="31"/>
      </w:numPr>
    </w:pPr>
  </w:style>
  <w:style w:type="numbering" w:customStyle="1" w:styleId="ImportedStyle37">
    <w:name w:val="Imported Style 37"/>
    <w:rsid w:val="00493D7A"/>
    <w:pPr>
      <w:numPr>
        <w:numId w:val="33"/>
      </w:numPr>
    </w:pPr>
  </w:style>
  <w:style w:type="numbering" w:customStyle="1" w:styleId="ImportedStyle45">
    <w:name w:val="Imported Style 45"/>
    <w:rsid w:val="00493D7A"/>
    <w:pPr>
      <w:numPr>
        <w:numId w:val="36"/>
      </w:numPr>
    </w:pPr>
  </w:style>
  <w:style w:type="numbering" w:customStyle="1" w:styleId="ImportedStyle4">
    <w:name w:val="Imported Style 4"/>
    <w:rsid w:val="00493D7A"/>
    <w:pPr>
      <w:numPr>
        <w:numId w:val="38"/>
      </w:numPr>
    </w:pPr>
  </w:style>
  <w:style w:type="paragraph" w:customStyle="1" w:styleId="BodyC">
    <w:name w:val="Body C"/>
    <w:rsid w:val="00493D7A"/>
    <w:pPr>
      <w:pBdr>
        <w:top w:val="nil"/>
        <w:left w:val="nil"/>
        <w:bottom w:val="nil"/>
        <w:right w:val="nil"/>
        <w:between w:val="nil"/>
        <w:bar w:val="nil"/>
      </w:pBdr>
      <w:spacing w:after="200" w:line="240" w:lineRule="auto"/>
    </w:pPr>
    <w:rPr>
      <w:rFonts w:ascii="Times New Roman" w:eastAsia="Arial Unicode MS" w:hAnsi="Times New Roman" w:cs="Arial Unicode MS"/>
      <w:color w:val="000000"/>
      <w:sz w:val="24"/>
      <w:szCs w:val="24"/>
      <w:u w:color="000000"/>
      <w:bdr w:val="nil"/>
      <w:lang w:val="en-US" w:eastAsia="en-GB"/>
    </w:rPr>
  </w:style>
  <w:style w:type="numbering" w:customStyle="1" w:styleId="ImportedStyle100">
    <w:name w:val="Imported Style 1.0.0"/>
    <w:rsid w:val="00493D7A"/>
    <w:pPr>
      <w:numPr>
        <w:numId w:val="40"/>
      </w:numPr>
    </w:pPr>
  </w:style>
  <w:style w:type="numbering" w:customStyle="1" w:styleId="ImportedStyle20">
    <w:name w:val="Imported Style 2.0"/>
    <w:rsid w:val="00493D7A"/>
    <w:pPr>
      <w:numPr>
        <w:numId w:val="42"/>
      </w:numPr>
    </w:pPr>
  </w:style>
  <w:style w:type="numbering" w:customStyle="1" w:styleId="ImportedStyle561">
    <w:name w:val="Imported Style 561"/>
    <w:rsid w:val="00493D7A"/>
    <w:pPr>
      <w:numPr>
        <w:numId w:val="46"/>
      </w:numPr>
    </w:pPr>
  </w:style>
  <w:style w:type="numbering" w:customStyle="1" w:styleId="ImportedStyle571">
    <w:name w:val="Imported Style 571"/>
    <w:rsid w:val="00493D7A"/>
    <w:pPr>
      <w:numPr>
        <w:numId w:val="48"/>
      </w:numPr>
    </w:pPr>
  </w:style>
  <w:style w:type="numbering" w:customStyle="1" w:styleId="ImportedStyle601">
    <w:name w:val="Imported Style 601"/>
    <w:rsid w:val="00493D7A"/>
    <w:pPr>
      <w:numPr>
        <w:numId w:val="50"/>
      </w:numPr>
    </w:pPr>
  </w:style>
  <w:style w:type="numbering" w:customStyle="1" w:styleId="Bullets">
    <w:name w:val="Bullets"/>
    <w:rsid w:val="00493D7A"/>
    <w:pPr>
      <w:numPr>
        <w:numId w:val="53"/>
      </w:numPr>
    </w:pPr>
  </w:style>
  <w:style w:type="numbering" w:customStyle="1" w:styleId="Numbered">
    <w:name w:val="Numbered"/>
    <w:rsid w:val="00493D7A"/>
    <w:pPr>
      <w:numPr>
        <w:numId w:val="57"/>
      </w:numPr>
    </w:pPr>
  </w:style>
  <w:style w:type="numbering" w:customStyle="1" w:styleId="ImportedStyle40">
    <w:name w:val="Imported Style 4.0"/>
    <w:rsid w:val="00493D7A"/>
    <w:pPr>
      <w:numPr>
        <w:numId w:val="60"/>
      </w:numPr>
    </w:pPr>
  </w:style>
  <w:style w:type="numbering" w:customStyle="1" w:styleId="ImportedStyle10">
    <w:name w:val="Imported Style 1.0"/>
    <w:rsid w:val="00493D7A"/>
    <w:pPr>
      <w:numPr>
        <w:numId w:val="62"/>
      </w:numPr>
    </w:pPr>
  </w:style>
  <w:style w:type="character" w:customStyle="1" w:styleId="Heading1Char">
    <w:name w:val="Heading 1 Char"/>
    <w:basedOn w:val="DefaultParagraphFont"/>
    <w:link w:val="Heading1"/>
    <w:rsid w:val="00FB5722"/>
    <w:rPr>
      <w:rFonts w:ascii="Gill Sans MT" w:eastAsia="Times New Roman" w:hAnsi="Gill Sans MT" w:cs="Arial"/>
      <w:bCs/>
      <w:caps/>
      <w:color w:val="002A6C"/>
      <w:sz w:val="52"/>
      <w:szCs w:val="60"/>
      <w:lang w:val="es-ES"/>
    </w:rPr>
  </w:style>
  <w:style w:type="character" w:customStyle="1" w:styleId="Heading3Char">
    <w:name w:val="Heading 3 Char"/>
    <w:basedOn w:val="DefaultParagraphFont"/>
    <w:link w:val="Heading3"/>
    <w:uiPriority w:val="9"/>
    <w:semiHidden/>
    <w:rsid w:val="00FB5722"/>
    <w:rPr>
      <w:rFonts w:ascii="Cambria" w:eastAsia="Times New Roman" w:hAnsi="Cambria" w:cs="Times New Roman"/>
      <w:b/>
      <w:bCs/>
      <w:color w:val="4F81BD"/>
      <w:lang w:val="en-US"/>
    </w:rPr>
  </w:style>
  <w:style w:type="character" w:customStyle="1" w:styleId="ListParagraphChar">
    <w:name w:val="List Paragraph Char"/>
    <w:aliases w:val="Liste de points Char,List Paragraph (numbered (a)) Char,Numbered List Paragraph Char"/>
    <w:link w:val="ListParagraph"/>
    <w:uiPriority w:val="34"/>
    <w:rsid w:val="00FB5722"/>
  </w:style>
  <w:style w:type="paragraph" w:styleId="BalloonText">
    <w:name w:val="Balloon Text"/>
    <w:basedOn w:val="Normal"/>
    <w:link w:val="BalloonTextChar"/>
    <w:uiPriority w:val="99"/>
    <w:semiHidden/>
    <w:unhideWhenUsed/>
    <w:rsid w:val="00FB5722"/>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FB5722"/>
    <w:rPr>
      <w:rFonts w:ascii="Tahoma" w:eastAsia="Calibri" w:hAnsi="Tahoma" w:cs="Tahoma"/>
      <w:sz w:val="16"/>
      <w:szCs w:val="16"/>
      <w:lang w:val="en-US"/>
    </w:rPr>
  </w:style>
  <w:style w:type="character" w:customStyle="1" w:styleId="NoSpacingChar">
    <w:name w:val="No Spacing Char"/>
    <w:link w:val="NoSpacing"/>
    <w:uiPriority w:val="1"/>
    <w:rsid w:val="00FB5722"/>
    <w:rPr>
      <w:rFonts w:ascii="Calibri" w:eastAsia="Calibri" w:hAnsi="Calibri" w:cs="Calibri"/>
      <w:color w:val="000000"/>
      <w:u w:color="000000"/>
      <w:bdr w:val="nil"/>
      <w:lang w:val="en-US" w:eastAsia="en-GB"/>
    </w:rPr>
  </w:style>
  <w:style w:type="character" w:customStyle="1" w:styleId="WW-Saisiedelutilisateur1">
    <w:name w:val="WW-Saisie de l'utilisateur1"/>
    <w:rsid w:val="00FB5722"/>
    <w:rPr>
      <w:rFonts w:ascii="Arial" w:eastAsia="Courier New" w:hAnsi="Arial" w:cs="Courier New"/>
      <w:sz w:val="21"/>
    </w:rPr>
  </w:style>
  <w:style w:type="paragraph" w:styleId="NormalWeb">
    <w:name w:val="Normal (Web)"/>
    <w:basedOn w:val="Normal"/>
    <w:uiPriority w:val="99"/>
    <w:unhideWhenUsed/>
    <w:rsid w:val="00FB572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FB5722"/>
    <w:pPr>
      <w:tabs>
        <w:tab w:val="center" w:pos="4680"/>
        <w:tab w:val="right" w:pos="9360"/>
      </w:tabs>
      <w:spacing w:after="200" w:line="276"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FB5722"/>
    <w:rPr>
      <w:rFonts w:ascii="Calibri" w:eastAsia="Calibri" w:hAnsi="Calibri" w:cs="Times New Roman"/>
      <w:lang w:val="en-US"/>
    </w:rPr>
  </w:style>
  <w:style w:type="paragraph" w:styleId="Footer">
    <w:name w:val="footer"/>
    <w:basedOn w:val="Normal"/>
    <w:link w:val="FooterChar"/>
    <w:uiPriority w:val="99"/>
    <w:unhideWhenUsed/>
    <w:rsid w:val="00FB5722"/>
    <w:pPr>
      <w:tabs>
        <w:tab w:val="center" w:pos="4680"/>
        <w:tab w:val="right" w:pos="9360"/>
      </w:tabs>
      <w:spacing w:after="200" w:line="276"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FB5722"/>
    <w:rPr>
      <w:rFonts w:ascii="Calibri" w:eastAsia="Calibri" w:hAnsi="Calibri" w:cs="Times New Roman"/>
      <w:lang w:val="en-US"/>
    </w:rPr>
  </w:style>
  <w:style w:type="paragraph" w:styleId="Title">
    <w:name w:val="Title"/>
    <w:basedOn w:val="Subtitle"/>
    <w:next w:val="Normal"/>
    <w:link w:val="TitleChar"/>
    <w:uiPriority w:val="10"/>
    <w:qFormat/>
    <w:rsid w:val="00FB5722"/>
    <w:pPr>
      <w:spacing w:before="2100"/>
    </w:pPr>
    <w:rPr>
      <w:sz w:val="48"/>
    </w:rPr>
  </w:style>
  <w:style w:type="character" w:customStyle="1" w:styleId="TitleChar">
    <w:name w:val="Title Char"/>
    <w:basedOn w:val="DefaultParagraphFont"/>
    <w:link w:val="Title"/>
    <w:uiPriority w:val="10"/>
    <w:rsid w:val="00FB5722"/>
    <w:rPr>
      <w:rFonts w:ascii="Gill Sans MT" w:eastAsia="Times New Roman" w:hAnsi="Gill Sans MT" w:cs="Arial"/>
      <w:caps/>
      <w:sz w:val="48"/>
      <w:szCs w:val="36"/>
      <w:lang w:val="en-US"/>
    </w:rPr>
  </w:style>
  <w:style w:type="paragraph" w:styleId="Subtitle">
    <w:name w:val="Subtitle"/>
    <w:basedOn w:val="Normal"/>
    <w:next w:val="Normal"/>
    <w:link w:val="SubtitleChar"/>
    <w:qFormat/>
    <w:rsid w:val="00FB5722"/>
    <w:pPr>
      <w:autoSpaceDE w:val="0"/>
      <w:autoSpaceDN w:val="0"/>
      <w:adjustRightInd w:val="0"/>
      <w:spacing w:before="240" w:after="240" w:line="240" w:lineRule="auto"/>
    </w:pPr>
    <w:rPr>
      <w:rFonts w:ascii="Gill Sans MT" w:eastAsia="Times New Roman" w:hAnsi="Gill Sans MT" w:cs="Arial"/>
      <w:caps/>
      <w:sz w:val="28"/>
      <w:szCs w:val="36"/>
      <w:lang w:val="en-US"/>
    </w:rPr>
  </w:style>
  <w:style w:type="character" w:customStyle="1" w:styleId="SubtitleChar">
    <w:name w:val="Subtitle Char"/>
    <w:basedOn w:val="DefaultParagraphFont"/>
    <w:link w:val="Subtitle"/>
    <w:rsid w:val="00FB5722"/>
    <w:rPr>
      <w:rFonts w:ascii="Gill Sans MT" w:eastAsia="Times New Roman" w:hAnsi="Gill Sans MT" w:cs="Arial"/>
      <w:caps/>
      <w:sz w:val="28"/>
      <w:szCs w:val="36"/>
      <w:lang w:val="en-US"/>
    </w:rPr>
  </w:style>
  <w:style w:type="paragraph" w:styleId="TOC1">
    <w:name w:val="toc 1"/>
    <w:basedOn w:val="Normal"/>
    <w:next w:val="Normal"/>
    <w:autoRedefine/>
    <w:uiPriority w:val="39"/>
    <w:unhideWhenUsed/>
    <w:rsid w:val="00FB5722"/>
    <w:pPr>
      <w:autoSpaceDE w:val="0"/>
      <w:autoSpaceDN w:val="0"/>
      <w:adjustRightInd w:val="0"/>
      <w:spacing w:before="240" w:after="100" w:line="240" w:lineRule="auto"/>
      <w:jc w:val="both"/>
    </w:pPr>
    <w:rPr>
      <w:rFonts w:ascii="Gill Sans MT" w:eastAsia="Times New Roman" w:hAnsi="Gill Sans MT" w:cs="Arial"/>
      <w:bCs/>
      <w:lang w:val="en-US"/>
    </w:rPr>
  </w:style>
  <w:style w:type="character" w:styleId="Hyperlink">
    <w:name w:val="Hyperlink"/>
    <w:uiPriority w:val="99"/>
    <w:unhideWhenUsed/>
    <w:rsid w:val="00FB5722"/>
    <w:rPr>
      <w:color w:val="0000FF"/>
      <w:u w:val="single"/>
    </w:rPr>
  </w:style>
  <w:style w:type="character" w:customStyle="1" w:styleId="Heading2Char1">
    <w:name w:val="Heading 2 Char1"/>
    <w:aliases w:val="Char4 Char Char Char, Char4 Char Char Char"/>
    <w:rsid w:val="00FB5722"/>
    <w:rPr>
      <w:rFonts w:ascii="Arial" w:eastAsia="Times New Roman" w:hAnsi="Arial" w:cs="Times New Roman"/>
      <w:b/>
      <w:bCs/>
      <w:sz w:val="24"/>
      <w:szCs w:val="24"/>
    </w:rPr>
  </w:style>
  <w:style w:type="paragraph" w:customStyle="1" w:styleId="Default">
    <w:name w:val="Default"/>
    <w:rsid w:val="00FB5722"/>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UserEntry">
    <w:name w:val="User Entry"/>
    <w:rsid w:val="00FB5722"/>
    <w:rPr>
      <w:rFonts w:ascii="Arial" w:eastAsia="Courier New" w:hAnsi="Arial" w:cs="Courier New"/>
      <w:sz w:val="21"/>
    </w:rPr>
  </w:style>
  <w:style w:type="paragraph" w:styleId="Caption">
    <w:name w:val="caption"/>
    <w:basedOn w:val="Normal"/>
    <w:next w:val="Normal"/>
    <w:uiPriority w:val="35"/>
    <w:qFormat/>
    <w:rsid w:val="00FB5722"/>
    <w:pPr>
      <w:spacing w:after="120" w:line="240" w:lineRule="auto"/>
      <w:jc w:val="both"/>
    </w:pPr>
    <w:rPr>
      <w:rFonts w:ascii="Times New Roman" w:eastAsia="MS Mincho" w:hAnsi="Times New Roman" w:cs="Times New Roman"/>
      <w:bCs/>
      <w:i/>
      <w:sz w:val="20"/>
      <w:szCs w:val="20"/>
      <w:lang w:val="fr-FR"/>
    </w:rPr>
  </w:style>
  <w:style w:type="paragraph" w:customStyle="1" w:styleId="WW-Corpsdetexte2">
    <w:name w:val="WW-Corps de texte 2"/>
    <w:basedOn w:val="Normal"/>
    <w:rsid w:val="00FB5722"/>
    <w:pPr>
      <w:widowControl w:val="0"/>
      <w:suppressAutoHyphens/>
      <w:spacing w:before="227" w:after="227" w:line="100" w:lineRule="atLeast"/>
      <w:jc w:val="both"/>
    </w:pPr>
    <w:rPr>
      <w:rFonts w:ascii="Univers" w:eastAsia="Arial Unicode MS" w:hAnsi="Univers" w:cs="Times New Roman"/>
      <w:szCs w:val="24"/>
      <w:lang w:val="fr-FR" w:eastAsia="fr-FR"/>
    </w:rPr>
  </w:style>
  <w:style w:type="character" w:customStyle="1" w:styleId="CommentTextChar">
    <w:name w:val="Comment Text Char"/>
    <w:link w:val="CommentText"/>
    <w:uiPriority w:val="99"/>
    <w:semiHidden/>
    <w:rsid w:val="00FB5722"/>
    <w:rPr>
      <w:rFonts w:ascii="Times New Roman" w:eastAsia="Times New Roman" w:hAnsi="Times New Roman"/>
    </w:rPr>
  </w:style>
  <w:style w:type="paragraph" w:styleId="CommentText">
    <w:name w:val="annotation text"/>
    <w:basedOn w:val="Normal"/>
    <w:link w:val="CommentTextChar"/>
    <w:uiPriority w:val="99"/>
    <w:semiHidden/>
    <w:unhideWhenUsed/>
    <w:rsid w:val="00FB5722"/>
    <w:pPr>
      <w:spacing w:after="0" w:line="240" w:lineRule="auto"/>
    </w:pPr>
    <w:rPr>
      <w:rFonts w:ascii="Times New Roman" w:eastAsia="Times New Roman" w:hAnsi="Times New Roman"/>
    </w:rPr>
  </w:style>
  <w:style w:type="character" w:customStyle="1" w:styleId="CommentTextChar1">
    <w:name w:val="Comment Text Char1"/>
    <w:basedOn w:val="DefaultParagraphFont"/>
    <w:uiPriority w:val="99"/>
    <w:semiHidden/>
    <w:rsid w:val="00FB5722"/>
    <w:rPr>
      <w:sz w:val="20"/>
      <w:szCs w:val="20"/>
    </w:rPr>
  </w:style>
  <w:style w:type="character" w:customStyle="1" w:styleId="FootnoteTextChar">
    <w:name w:val="Footnote Text Char"/>
    <w:link w:val="FootnoteText"/>
    <w:uiPriority w:val="99"/>
    <w:semiHidden/>
    <w:rsid w:val="00FB5722"/>
  </w:style>
  <w:style w:type="paragraph" w:styleId="FootnoteText">
    <w:name w:val="footnote text"/>
    <w:basedOn w:val="Normal"/>
    <w:link w:val="FootnoteTextChar"/>
    <w:uiPriority w:val="99"/>
    <w:semiHidden/>
    <w:unhideWhenUsed/>
    <w:rsid w:val="00FB5722"/>
    <w:pPr>
      <w:spacing w:after="0" w:line="240" w:lineRule="auto"/>
    </w:pPr>
  </w:style>
  <w:style w:type="character" w:customStyle="1" w:styleId="FootnoteTextChar1">
    <w:name w:val="Footnote Text Char1"/>
    <w:basedOn w:val="DefaultParagraphFont"/>
    <w:uiPriority w:val="99"/>
    <w:semiHidden/>
    <w:rsid w:val="00FB5722"/>
    <w:rPr>
      <w:sz w:val="20"/>
      <w:szCs w:val="20"/>
    </w:rPr>
  </w:style>
  <w:style w:type="character" w:customStyle="1" w:styleId="intexthighlight">
    <w:name w:val="intexthighlight"/>
    <w:rsid w:val="00FB5722"/>
  </w:style>
  <w:style w:type="paragraph" w:styleId="BodyText">
    <w:name w:val="Body Text"/>
    <w:basedOn w:val="Normal"/>
    <w:link w:val="BodyTextChar"/>
    <w:rsid w:val="00FB5722"/>
    <w:pPr>
      <w:spacing w:after="0" w:line="240" w:lineRule="auto"/>
      <w:jc w:val="both"/>
    </w:pPr>
    <w:rPr>
      <w:rFonts w:ascii="Garamond" w:eastAsia="Times New Roman" w:hAnsi="Garamond" w:cs="Times New Roman"/>
      <w:sz w:val="24"/>
      <w:szCs w:val="24"/>
    </w:rPr>
  </w:style>
  <w:style w:type="character" w:customStyle="1" w:styleId="BodyTextChar">
    <w:name w:val="Body Text Char"/>
    <w:basedOn w:val="DefaultParagraphFont"/>
    <w:link w:val="BodyText"/>
    <w:rsid w:val="00FB5722"/>
    <w:rPr>
      <w:rFonts w:ascii="Garamond" w:eastAsia="Times New Roman" w:hAnsi="Garamond" w:cs="Times New Roman"/>
      <w:sz w:val="24"/>
      <w:szCs w:val="24"/>
    </w:rPr>
  </w:style>
  <w:style w:type="paragraph" w:customStyle="1" w:styleId="Pa11">
    <w:name w:val="Pa11"/>
    <w:basedOn w:val="Normal"/>
    <w:next w:val="Normal"/>
    <w:uiPriority w:val="99"/>
    <w:rsid w:val="00FB5722"/>
    <w:pPr>
      <w:widowControl w:val="0"/>
      <w:autoSpaceDE w:val="0"/>
      <w:autoSpaceDN w:val="0"/>
      <w:adjustRightInd w:val="0"/>
      <w:spacing w:after="0" w:line="181" w:lineRule="atLeast"/>
    </w:pPr>
    <w:rPr>
      <w:rFonts w:ascii="Calvert MT Std" w:eastAsia="Times New Roman" w:hAnsi="Calvert MT Std" w:cs="Times New Roman"/>
      <w:sz w:val="24"/>
      <w:szCs w:val="24"/>
      <w:lang w:val="en-US"/>
    </w:rPr>
  </w:style>
  <w:style w:type="paragraph" w:customStyle="1" w:styleId="Pa31">
    <w:name w:val="Pa31"/>
    <w:basedOn w:val="Normal"/>
    <w:next w:val="Normal"/>
    <w:uiPriority w:val="99"/>
    <w:rsid w:val="00FB5722"/>
    <w:pPr>
      <w:widowControl w:val="0"/>
      <w:autoSpaceDE w:val="0"/>
      <w:autoSpaceDN w:val="0"/>
      <w:adjustRightInd w:val="0"/>
      <w:spacing w:after="0" w:line="221" w:lineRule="atLeast"/>
    </w:pPr>
    <w:rPr>
      <w:rFonts w:ascii="Calvert MT Std" w:eastAsia="Times New Roman" w:hAnsi="Calvert MT Std" w:cs="Times New Roman"/>
      <w:sz w:val="24"/>
      <w:szCs w:val="24"/>
      <w:lang w:val="en-US"/>
    </w:rPr>
  </w:style>
  <w:style w:type="character" w:customStyle="1" w:styleId="apple-converted-space">
    <w:name w:val="apple-converted-space"/>
    <w:rsid w:val="00FB5722"/>
  </w:style>
  <w:style w:type="character" w:customStyle="1" w:styleId="CommentSubjectChar">
    <w:name w:val="Comment Subject Char"/>
    <w:link w:val="CommentSubject"/>
    <w:uiPriority w:val="99"/>
    <w:semiHidden/>
    <w:rsid w:val="00FB5722"/>
    <w:rPr>
      <w:rFonts w:ascii="Times New Roman" w:eastAsia="Times New Roman" w:hAnsi="Times New Roman"/>
      <w:b/>
      <w:bCs/>
    </w:rPr>
  </w:style>
  <w:style w:type="paragraph" w:styleId="CommentSubject">
    <w:name w:val="annotation subject"/>
    <w:basedOn w:val="CommentText"/>
    <w:next w:val="CommentText"/>
    <w:link w:val="CommentSubjectChar"/>
    <w:uiPriority w:val="99"/>
    <w:semiHidden/>
    <w:unhideWhenUsed/>
    <w:rsid w:val="00FB5722"/>
    <w:pPr>
      <w:spacing w:after="160"/>
    </w:pPr>
    <w:rPr>
      <w:b/>
      <w:bCs/>
    </w:rPr>
  </w:style>
  <w:style w:type="character" w:customStyle="1" w:styleId="CommentSubjectChar1">
    <w:name w:val="Comment Subject Char1"/>
    <w:basedOn w:val="CommentTextChar1"/>
    <w:uiPriority w:val="99"/>
    <w:semiHidden/>
    <w:rsid w:val="00FB5722"/>
    <w:rPr>
      <w:b/>
      <w:bCs/>
      <w:sz w:val="20"/>
      <w:szCs w:val="20"/>
    </w:rPr>
  </w:style>
  <w:style w:type="character" w:styleId="Strong">
    <w:name w:val="Strong"/>
    <w:uiPriority w:val="22"/>
    <w:qFormat/>
    <w:rsid w:val="00FB5722"/>
    <w:rPr>
      <w:b/>
      <w:bCs/>
    </w:rPr>
  </w:style>
  <w:style w:type="character" w:customStyle="1" w:styleId="style9">
    <w:name w:val="style9"/>
    <w:rsid w:val="00FB5722"/>
  </w:style>
  <w:style w:type="character" w:customStyle="1" w:styleId="style13">
    <w:name w:val="style13"/>
    <w:rsid w:val="00FB5722"/>
  </w:style>
  <w:style w:type="character" w:styleId="Emphasis">
    <w:name w:val="Emphasis"/>
    <w:uiPriority w:val="20"/>
    <w:qFormat/>
    <w:rsid w:val="00FB5722"/>
    <w:rPr>
      <w:i/>
      <w:iCs/>
    </w:rPr>
  </w:style>
  <w:style w:type="paragraph" w:customStyle="1" w:styleId="BulletedlistSaana">
    <w:name w:val="Bulleted list Saana"/>
    <w:basedOn w:val="ListParagraph"/>
    <w:next w:val="Normal"/>
    <w:qFormat/>
    <w:rsid w:val="00FB5722"/>
    <w:pPr>
      <w:numPr>
        <w:numId w:val="71"/>
      </w:numPr>
      <w:spacing w:before="120" w:after="120" w:line="240" w:lineRule="auto"/>
      <w:contextualSpacing w:val="0"/>
    </w:pPr>
    <w:rPr>
      <w:rFonts w:ascii="Arial" w:eastAsia="Times New Roman" w:hAnsi="Arial" w:cs="Times New Roman"/>
      <w:lang w:eastAsia="ja-JP"/>
    </w:rPr>
  </w:style>
  <w:style w:type="paragraph" w:customStyle="1" w:styleId="NormalSaana">
    <w:name w:val="NormalSaana"/>
    <w:basedOn w:val="Normal"/>
    <w:qFormat/>
    <w:rsid w:val="00FB5722"/>
    <w:pPr>
      <w:spacing w:before="120" w:after="120" w:line="240" w:lineRule="auto"/>
      <w:jc w:val="both"/>
    </w:pPr>
    <w:rPr>
      <w:rFonts w:ascii="Arial" w:eastAsia="Times New Roman" w:hAnsi="Arial" w:cs="Times New Roman"/>
      <w:szCs w:val="24"/>
      <w:lang w:eastAsia="ja-JP"/>
    </w:rPr>
  </w:style>
  <w:style w:type="character" w:styleId="FootnoteReference">
    <w:name w:val="footnote reference"/>
    <w:uiPriority w:val="99"/>
    <w:semiHidden/>
    <w:unhideWhenUsed/>
    <w:rsid w:val="00FB5722"/>
    <w:rPr>
      <w:vertAlign w:val="superscript"/>
    </w:rPr>
  </w:style>
  <w:style w:type="table" w:customStyle="1" w:styleId="LightGrid-Accent11">
    <w:name w:val="Light Grid - Accent 11"/>
    <w:basedOn w:val="TableNormal"/>
    <w:uiPriority w:val="62"/>
    <w:rsid w:val="00FB5722"/>
    <w:pPr>
      <w:spacing w:after="0" w:line="240" w:lineRule="auto"/>
    </w:pPr>
    <w:rPr>
      <w:rFonts w:ascii="Calibri" w:eastAsia="Times New Roman" w:hAnsi="Calibri" w:cs="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TMLCite">
    <w:name w:val="HTML Cite"/>
    <w:uiPriority w:val="99"/>
    <w:semiHidden/>
    <w:unhideWhenUsed/>
    <w:rsid w:val="00FB5722"/>
    <w:rPr>
      <w:i/>
      <w:iCs/>
    </w:rPr>
  </w:style>
  <w:style w:type="character" w:customStyle="1" w:styleId="st">
    <w:name w:val="st"/>
    <w:rsid w:val="00FB5722"/>
  </w:style>
  <w:style w:type="paragraph" w:styleId="TOC3">
    <w:name w:val="toc 3"/>
    <w:basedOn w:val="Normal"/>
    <w:next w:val="Normal"/>
    <w:autoRedefine/>
    <w:uiPriority w:val="39"/>
    <w:unhideWhenUsed/>
    <w:rsid w:val="008535DE"/>
    <w:pPr>
      <w:spacing w:after="100"/>
      <w:ind w:left="440"/>
    </w:pPr>
  </w:style>
  <w:style w:type="paragraph" w:styleId="TOCHeading">
    <w:name w:val="TOC Heading"/>
    <w:basedOn w:val="Heading1"/>
    <w:next w:val="Normal"/>
    <w:uiPriority w:val="39"/>
    <w:unhideWhenUsed/>
    <w:qFormat/>
    <w:rsid w:val="008535DE"/>
    <w:pPr>
      <w:keepLines/>
      <w:autoSpaceDE/>
      <w:autoSpaceDN/>
      <w:adjustRightInd/>
      <w:spacing w:before="240" w:after="0" w:line="259" w:lineRule="auto"/>
      <w:outlineLvl w:val="9"/>
    </w:pPr>
    <w:rPr>
      <w:rFonts w:asciiTheme="majorHAnsi" w:eastAsiaTheme="majorEastAsia" w:hAnsiTheme="majorHAnsi" w:cstheme="majorBidi"/>
      <w:bCs w:val="0"/>
      <w:caps w:val="0"/>
      <w:color w:val="2F5496" w:themeColor="accent1" w:themeShade="BF"/>
      <w:sz w:val="32"/>
      <w:szCs w:val="32"/>
      <w:lang w:val="en-US"/>
    </w:rPr>
  </w:style>
  <w:style w:type="paragraph" w:styleId="TOC2">
    <w:name w:val="toc 2"/>
    <w:basedOn w:val="Normal"/>
    <w:next w:val="Normal"/>
    <w:autoRedefine/>
    <w:uiPriority w:val="39"/>
    <w:unhideWhenUsed/>
    <w:rsid w:val="008535DE"/>
    <w:pPr>
      <w:spacing w:after="100"/>
      <w:ind w:left="22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header" Target="header2.xml"/><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Nigeria!$M$6</c:f>
              <c:strCache>
                <c:ptCount val="1"/>
                <c:pt idx="0">
                  <c:v>Total Imports</c:v>
                </c:pt>
              </c:strCache>
            </c:strRef>
          </c:tx>
          <c:spPr>
            <a:ln w="28563" cap="rnd">
              <a:solidFill>
                <a:schemeClr val="accent1"/>
              </a:solidFill>
              <a:round/>
            </a:ln>
            <a:effectLst/>
          </c:spPr>
          <c:marker>
            <c:symbol val="circle"/>
            <c:size val="4"/>
            <c:spPr>
              <a:solidFill>
                <a:schemeClr val="accent1"/>
              </a:solidFill>
              <a:ln w="9521">
                <a:solidFill>
                  <a:schemeClr val="accent1"/>
                </a:solidFill>
              </a:ln>
              <a:effectLst/>
            </c:spPr>
          </c:marker>
          <c:cat>
            <c:numRef>
              <c:f>Nigeria!$L$7:$L$19</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Nigeria!$M$7:$M$19</c:f>
              <c:numCache>
                <c:formatCode>0</c:formatCode>
                <c:ptCount val="13"/>
                <c:pt idx="0">
                  <c:v>14775.238730117</c:v>
                </c:pt>
                <c:pt idx="1">
                  <c:v>10888.989087144</c:v>
                </c:pt>
                <c:pt idx="2">
                  <c:v>12761.858805632</c:v>
                </c:pt>
                <c:pt idx="3">
                  <c:v>22590.217930184001</c:v>
                </c:pt>
                <c:pt idx="4">
                  <c:v>32603.86755653</c:v>
                </c:pt>
                <c:pt idx="5">
                  <c:v>27752.664315631009</c:v>
                </c:pt>
                <c:pt idx="6">
                  <c:v>33736.746115606002</c:v>
                </c:pt>
                <c:pt idx="7">
                  <c:v>44046.143342906988</c:v>
                </c:pt>
                <c:pt idx="8">
                  <c:v>54920.916684071002</c:v>
                </c:pt>
                <c:pt idx="9">
                  <c:v>36047.198146385002</c:v>
                </c:pt>
                <c:pt idx="10">
                  <c:v>45192.288843759001</c:v>
                </c:pt>
                <c:pt idx="11">
                  <c:v>46350.928100688987</c:v>
                </c:pt>
                <c:pt idx="12">
                  <c:v>33753.96282790375</c:v>
                </c:pt>
              </c:numCache>
            </c:numRef>
          </c:val>
          <c:smooth val="0"/>
          <c:extLst xmlns:c16r2="http://schemas.microsoft.com/office/drawing/2015/06/chart">
            <c:ext xmlns:c16="http://schemas.microsoft.com/office/drawing/2014/chart" uri="{C3380CC4-5D6E-409C-BE32-E72D297353CC}">
              <c16:uniqueId val="{00000000-EDFA-46CE-A47C-B3EC58C418FE}"/>
            </c:ext>
          </c:extLst>
        </c:ser>
        <c:ser>
          <c:idx val="1"/>
          <c:order val="1"/>
          <c:tx>
            <c:strRef>
              <c:f>Nigeria!$N$6</c:f>
              <c:strCache>
                <c:ptCount val="1"/>
                <c:pt idx="0">
                  <c:v>Total Exports </c:v>
                </c:pt>
              </c:strCache>
            </c:strRef>
          </c:tx>
          <c:spPr>
            <a:ln w="28563" cap="rnd">
              <a:solidFill>
                <a:schemeClr val="accent2"/>
              </a:solidFill>
              <a:round/>
            </a:ln>
            <a:effectLst/>
          </c:spPr>
          <c:marker>
            <c:symbol val="circle"/>
            <c:size val="4"/>
            <c:spPr>
              <a:solidFill>
                <a:schemeClr val="accent2"/>
              </a:solidFill>
              <a:ln w="9521">
                <a:solidFill>
                  <a:schemeClr val="accent2"/>
                </a:solidFill>
              </a:ln>
              <a:effectLst/>
            </c:spPr>
          </c:marker>
          <c:cat>
            <c:numRef>
              <c:f>Nigeria!$L$7:$L$19</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Nigeria!$N$7:$N$19</c:f>
              <c:numCache>
                <c:formatCode>0</c:formatCode>
                <c:ptCount val="13"/>
                <c:pt idx="0">
                  <c:v>24186.123989563999</c:v>
                </c:pt>
                <c:pt idx="1">
                  <c:v>38587.722714038013</c:v>
                </c:pt>
                <c:pt idx="2">
                  <c:v>50464.525091049007</c:v>
                </c:pt>
                <c:pt idx="3">
                  <c:v>59315.561822636977</c:v>
                </c:pt>
                <c:pt idx="4">
                  <c:v>54795.246969814987</c:v>
                </c:pt>
                <c:pt idx="5">
                  <c:v>81270.591707361993</c:v>
                </c:pt>
                <c:pt idx="6">
                  <c:v>49746.538516027998</c:v>
                </c:pt>
                <c:pt idx="7">
                  <c:v>86522.153084577003</c:v>
                </c:pt>
                <c:pt idx="8">
                  <c:v>129670.820764334</c:v>
                </c:pt>
                <c:pt idx="9">
                  <c:v>144210.509246328</c:v>
                </c:pt>
                <c:pt idx="10">
                  <c:v>91762.663221449009</c:v>
                </c:pt>
                <c:pt idx="11">
                  <c:v>102721.192224314</c:v>
                </c:pt>
                <c:pt idx="12">
                  <c:v>44282.058009593267</c:v>
                </c:pt>
              </c:numCache>
            </c:numRef>
          </c:val>
          <c:smooth val="0"/>
          <c:extLst xmlns:c16r2="http://schemas.microsoft.com/office/drawing/2015/06/chart">
            <c:ext xmlns:c16="http://schemas.microsoft.com/office/drawing/2014/chart" uri="{C3380CC4-5D6E-409C-BE32-E72D297353CC}">
              <c16:uniqueId val="{00000001-EDFA-46CE-A47C-B3EC58C418FE}"/>
            </c:ext>
          </c:extLst>
        </c:ser>
        <c:dLbls>
          <c:showLegendKey val="0"/>
          <c:showVal val="0"/>
          <c:showCatName val="0"/>
          <c:showSerName val="0"/>
          <c:showPercent val="0"/>
          <c:showBubbleSize val="0"/>
        </c:dLbls>
        <c:marker val="1"/>
        <c:smooth val="0"/>
        <c:axId val="127099264"/>
        <c:axId val="127101568"/>
      </c:lineChart>
      <c:catAx>
        <c:axId val="127099264"/>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en-GB"/>
                  <a:t>Years</a:t>
                </a:r>
              </a:p>
            </c:rich>
          </c:tx>
          <c:overlay val="0"/>
          <c:spPr>
            <a:noFill/>
            <a:ln w="25389">
              <a:noFill/>
            </a:ln>
          </c:spPr>
        </c:title>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101568"/>
        <c:crosses val="autoZero"/>
        <c:auto val="1"/>
        <c:lblAlgn val="ctr"/>
        <c:lblOffset val="100"/>
        <c:noMultiLvlLbl val="0"/>
      </c:catAx>
      <c:valAx>
        <c:axId val="127101568"/>
        <c:scaling>
          <c:orientation val="minMax"/>
        </c:scaling>
        <c:delete val="0"/>
        <c:axPos val="l"/>
        <c:majorGridlines>
          <c:spPr>
            <a:ln w="9521"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GB"/>
                  <a:t>Dollar</a:t>
                </a:r>
              </a:p>
            </c:rich>
          </c:tx>
          <c:overlay val="0"/>
          <c:spPr>
            <a:noFill/>
            <a:ln w="25389">
              <a:noFill/>
            </a:ln>
          </c:spPr>
        </c:title>
        <c:numFmt formatCode="0" sourceLinked="1"/>
        <c:majorTickMark val="none"/>
        <c:minorTickMark val="none"/>
        <c:tickLblPos val="nextTo"/>
        <c:spPr>
          <a:ln w="6347">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099264"/>
        <c:crosses val="autoZero"/>
        <c:crossBetween val="between"/>
      </c:valAx>
      <c:spPr>
        <a:noFill/>
        <a:ln w="25389">
          <a:noFill/>
        </a:ln>
      </c:spPr>
    </c:plotArea>
    <c:legend>
      <c:legendPos val="b"/>
      <c:overlay val="0"/>
      <c:spPr>
        <a:noFill/>
        <a:ln w="2538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CA2901-76F3-458D-9FE5-0596288CD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61</Pages>
  <Words>17259</Words>
  <Characters>98380</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NESG</dc:creator>
  <cp:lastModifiedBy>Celestine pc</cp:lastModifiedBy>
  <cp:revision>2</cp:revision>
  <dcterms:created xsi:type="dcterms:W3CDTF">2017-03-28T15:12:00Z</dcterms:created>
  <dcterms:modified xsi:type="dcterms:W3CDTF">2017-03-28T15:12:00Z</dcterms:modified>
</cp:coreProperties>
</file>